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0715-2020-QEO</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天津致通供应链管理有限公司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吉洁</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r>
              <w:rPr>
                <w:rFonts w:hint="eastAsia"/>
                <w:sz w:val="22"/>
                <w:szCs w:val="22"/>
                <w:lang w:val="en-US" w:eastAsia="zh-CN"/>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91120118MA074EU04R</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w:t>
            </w:r>
            <w:bookmarkStart w:id="6" w:name="E勾选"/>
          </w:p>
          <w:p>
            <w:pPr>
              <w:snapToGrid w:val="0"/>
              <w:spacing w:line="0" w:lineRule="atLeast"/>
              <w:jc w:val="left"/>
              <w:rPr>
                <w:rFonts w:hint="eastAsia"/>
                <w:sz w:val="22"/>
                <w:szCs w:val="22"/>
                <w:lang w:val="en-US" w:eastAsia="zh-CN"/>
              </w:rPr>
            </w:pPr>
            <w:r>
              <w:rPr>
                <w:rFonts w:hint="eastAsia"/>
                <w:sz w:val="22"/>
                <w:szCs w:val="22"/>
                <w:lang w:val="en-US" w:eastAsia="zh-CN"/>
              </w:rPr>
              <w:t>■</w:t>
            </w:r>
            <w:bookmarkEnd w:id="6"/>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7" w:name="S勾选"/>
            <w:r>
              <w:rPr>
                <w:rFonts w:hint="eastAsia"/>
                <w:sz w:val="22"/>
                <w:szCs w:val="22"/>
                <w:lang w:val="en-US" w:eastAsia="zh-CN"/>
              </w:rPr>
              <w:t>■</w:t>
            </w:r>
            <w:bookmarkEnd w:id="7"/>
            <w:r>
              <w:rPr>
                <w:rFonts w:hint="eastAsia"/>
                <w:sz w:val="22"/>
                <w:szCs w:val="22"/>
                <w:lang w:val="en-US" w:eastAsia="zh-CN"/>
              </w:rPr>
              <w:t xml:space="preserve"> GB/T 45001-2020 idt ISO 45001:2018标准；</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8" w:name="体系人数"/>
            <w:r>
              <w:rPr>
                <w:rFonts w:hint="eastAsia"/>
                <w:sz w:val="22"/>
                <w:szCs w:val="22"/>
                <w:lang w:val="en-US" w:eastAsia="zh-CN"/>
              </w:rPr>
              <w:t>Q:10,E:10,O:10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2"/>
              <w:spacing w:line="400" w:lineRule="exact"/>
              <w:ind w:firstLine="0"/>
              <w:rPr>
                <w:rFonts w:hint="default" w:eastAsia="宋体"/>
                <w:sz w:val="22"/>
                <w:szCs w:val="22"/>
                <w:lang w:val="en-US" w:eastAsia="zh-CN"/>
              </w:rPr>
            </w:pPr>
            <w:r>
              <w:rPr>
                <w:rFonts w:hint="eastAsia"/>
                <w:b/>
                <w:color w:val="000000" w:themeColor="text1"/>
                <w:spacing w:val="-2"/>
                <w:sz w:val="21"/>
                <w:szCs w:val="21"/>
                <w:lang w:val="en-US" w:eastAsia="zh-CN"/>
              </w:rPr>
              <w:t>补充审核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lang w:eastAsia="zh-CN"/>
              </w:rPr>
              <w:t>☑</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9ED3A3"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9" w:name="组织名称Add1"/>
            <w:r>
              <w:rPr>
                <w:rFonts w:hint="eastAsia" w:ascii="Times New Roman" w:hAnsi="Times New Roman" w:eastAsia="宋体" w:cs="Times New Roman"/>
                <w:b w:val="0"/>
                <w:kern w:val="2"/>
                <w:sz w:val="22"/>
                <w:szCs w:val="22"/>
                <w:lang w:val="en-US" w:eastAsia="zh-CN" w:bidi="ar-SA"/>
              </w:rPr>
              <w:t>天津致通供应链管理有限公司</w:t>
            </w:r>
            <w:bookmarkEnd w:id="9"/>
          </w:p>
        </w:tc>
        <w:tc>
          <w:tcPr>
            <w:tcW w:w="5013" w:type="dxa"/>
            <w:gridSpan w:val="4"/>
            <w:vMerge w:val="restart"/>
          </w:tcPr>
          <w:p>
            <w:pPr>
              <w:snapToGrid w:val="0"/>
              <w:spacing w:line="0" w:lineRule="atLeast"/>
              <w:jc w:val="left"/>
              <w:rPr>
                <w:rFonts w:hint="eastAsia" w:cs="Times New Roman"/>
                <w:b w:val="0"/>
                <w:kern w:val="2"/>
                <w:sz w:val="22"/>
                <w:szCs w:val="22"/>
                <w:lang w:val="en-US" w:eastAsia="zh-CN" w:bidi="ar-SA"/>
              </w:rPr>
            </w:pPr>
            <w:bookmarkStart w:id="10" w:name="审核范围"/>
            <w:r>
              <w:rPr>
                <w:rFonts w:hint="eastAsia" w:cs="Times New Roman"/>
                <w:b w:val="0"/>
                <w:kern w:val="2"/>
                <w:sz w:val="22"/>
                <w:szCs w:val="22"/>
                <w:lang w:val="en-US" w:eastAsia="zh-CN" w:bidi="ar-SA"/>
              </w:rPr>
              <w:t>Q：普通货运、货物专用运输（集装箱）、大型物件运输（限许可范围内）</w:t>
            </w:r>
          </w:p>
          <w:p>
            <w:pPr>
              <w:snapToGrid w:val="0"/>
              <w:spacing w:line="0" w:lineRule="atLeast"/>
              <w:jc w:val="left"/>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E：普通货运、货物专用运输（集装箱）、大型物件运输（限许可范围内）所涉及场所的相关环境管理活动</w:t>
            </w:r>
          </w:p>
          <w:p>
            <w:pPr>
              <w:snapToGrid w:val="0"/>
              <w:spacing w:line="0" w:lineRule="atLeast"/>
              <w:jc w:val="left"/>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O：普通货运、货物专用运输（集装箱）、大型物件运输（限许可范围内）所涉及场所的相关职业健康安全管理活动</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1" w:name="注册地址"/>
            <w:r>
              <w:rPr>
                <w:rFonts w:hint="eastAsia" w:ascii="Times New Roman" w:hAnsi="Times New Roman" w:eastAsia="宋体" w:cs="Times New Roman"/>
                <w:b w:val="0"/>
                <w:kern w:val="2"/>
                <w:sz w:val="22"/>
                <w:szCs w:val="22"/>
                <w:lang w:val="en-GB" w:eastAsia="zh-CN" w:bidi="ar-SA"/>
              </w:rPr>
              <w:t>天津自贸试验区（空港经济区）颐景公寓7-2-201</w:t>
            </w:r>
            <w:bookmarkEnd w:id="11"/>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heme="minorEastAsia" w:hAnsiTheme="minorEastAsia" w:eastAsiaTheme="minorEastAsia"/>
                <w:b w:val="0"/>
                <w:bCs w:val="0"/>
                <w:color w:val="0000FF"/>
                <w:sz w:val="20"/>
                <w:lang w:val="en-US" w:eastAsia="zh-CN"/>
              </w:rPr>
              <w:t>天津市</w:t>
            </w:r>
            <w:r>
              <w:rPr>
                <w:rFonts w:hint="eastAsia" w:asciiTheme="minorEastAsia" w:hAnsiTheme="minorEastAsia" w:eastAsiaTheme="minorEastAsia"/>
                <w:b w:val="0"/>
                <w:bCs w:val="0"/>
                <w:color w:val="0000FF"/>
                <w:sz w:val="20"/>
              </w:rPr>
              <w:t>滨海新区泰丰榕景园1-3-102</w:t>
            </w:r>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9ED3A3"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b w:val="0"/>
                <w:bCs/>
                <w:color w:val="000000" w:themeColor="text1"/>
                <w:sz w:val="22"/>
                <w:szCs w:val="22"/>
              </w:rPr>
              <w:t>Tianjin Zhitong Supply Chain Management Co., Ltd</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sz w:val="21"/>
                <w:szCs w:val="16"/>
                <w:lang w:val="en-US" w:eastAsia="zh-CN"/>
              </w:rPr>
            </w:pPr>
            <w:r>
              <w:rPr>
                <w:rFonts w:hint="eastAsia"/>
                <w:b w:val="0"/>
                <w:bCs/>
                <w:color w:val="000000" w:themeColor="text1"/>
                <w:sz w:val="22"/>
                <w:szCs w:val="22"/>
                <w:lang w:val="en-US" w:eastAsia="zh-CN"/>
              </w:rPr>
              <w:t>General freight transportation, special freight transportation (container) and large goods transportation (within the scope of permission)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sz w:val="21"/>
                <w:szCs w:val="16"/>
                <w:lang w:val="en-US" w:eastAsia="zh-CN"/>
              </w:rPr>
            </w:pPr>
            <w:r>
              <w:rPr>
                <w:rFonts w:hint="eastAsia"/>
                <w:b w:val="0"/>
                <w:bCs/>
                <w:color w:val="000000" w:themeColor="text1"/>
                <w:sz w:val="22"/>
                <w:szCs w:val="22"/>
                <w:lang w:val="en-US" w:eastAsia="zh-CN"/>
              </w:rPr>
              <w:t>The Relative Environment Management Activities about General freight transportation, special freight transportation (container) and large goods transportation (within the scope of permission)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pStyle w:val="2"/>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textAlignment w:val="auto"/>
              <w:rPr>
                <w:rFonts w:hint="eastAsia" w:ascii="Times New Roman" w:hAnsi="Times New Roman" w:eastAsia="宋体" w:cs="Times New Roman"/>
                <w:b w:val="0"/>
                <w:kern w:val="2"/>
                <w:sz w:val="22"/>
                <w:szCs w:val="22"/>
                <w:lang w:val="en-US" w:eastAsia="zh-CN" w:bidi="ar-SA"/>
              </w:rPr>
            </w:pPr>
            <w:r>
              <w:rPr>
                <w:rFonts w:hint="eastAsia"/>
                <w:b w:val="0"/>
                <w:bCs/>
                <w:color w:val="000000" w:themeColor="text1"/>
                <w:sz w:val="22"/>
                <w:szCs w:val="22"/>
              </w:rPr>
              <w:t>7-2-201, Yijing apartment, Tianjin pilot free trade zone (Airport Economic Zone)</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default" w:ascii="Times New Roman" w:hAnsi="Times New Roman" w:eastAsia="宋体" w:cs="Times New Roman"/>
                <w:b w:val="0"/>
                <w:kern w:val="2"/>
                <w:sz w:val="22"/>
                <w:szCs w:val="22"/>
                <w:lang w:val="en-US" w:eastAsia="zh-CN" w:bidi="ar-SA"/>
              </w:rPr>
            </w:pPr>
            <w:r>
              <w:rPr>
                <w:rFonts w:hint="eastAsia"/>
                <w:b w:val="0"/>
                <w:bCs/>
                <w:color w:val="000000" w:themeColor="text1"/>
                <w:sz w:val="22"/>
                <w:szCs w:val="22"/>
                <w:lang w:val="en-US" w:eastAsia="zh-CN"/>
              </w:rPr>
              <w:t>The Relative Occupational Health Safety Management Activities about General freight transportation, special freight transportation (container) and large goods transportation (within the scope of permission)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bCs/>
                <w:color w:val="0000FF"/>
                <w:kern w:val="2"/>
                <w:sz w:val="22"/>
                <w:szCs w:val="22"/>
                <w:lang w:val="en-US" w:eastAsia="zh-CN" w:bidi="ar-SA"/>
              </w:rPr>
              <w:t>1-3-102, Taifeng rongjingyuan, Binhai New Area, Tianjin</w:t>
            </w: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vAlign w:val="center"/>
          </w:tcPr>
          <w:p>
            <w:pPr>
              <w:snapToGrid w:val="0"/>
              <w:spacing w:line="0" w:lineRule="atLeast"/>
              <w:jc w:val="both"/>
              <w:rPr>
                <w:rFonts w:hint="eastAsia" w:cs="Arial"/>
                <w:b/>
                <w:bCs/>
                <w:sz w:val="22"/>
                <w:szCs w:val="16"/>
                <w:lang w:val="en-US" w:eastAsia="zh-CN"/>
              </w:rPr>
            </w:pPr>
            <w:r>
              <w:rPr>
                <w:rFonts w:hint="eastAsia" w:cs="Arial"/>
                <w:b/>
                <w:bCs/>
                <w:sz w:val="22"/>
                <w:szCs w:val="16"/>
                <w:lang w:val="en-US" w:eastAsia="zh-CN"/>
              </w:rPr>
              <w:t>受审核方</w:t>
            </w:r>
          </w:p>
          <w:p>
            <w:pPr>
              <w:snapToGrid w:val="0"/>
              <w:spacing w:line="0" w:lineRule="atLeast"/>
              <w:jc w:val="both"/>
              <w:rPr>
                <w:rFonts w:hint="default" w:cs="Arial"/>
                <w:b/>
                <w:bCs/>
                <w:sz w:val="22"/>
                <w:szCs w:val="16"/>
                <w:lang w:val="en-US" w:eastAsia="zh-CN"/>
              </w:rPr>
            </w:pPr>
            <w:r>
              <w:rPr>
                <w:rFonts w:hint="eastAsia" w:cs="Arial"/>
                <w:b/>
                <w:bCs/>
                <w:sz w:val="22"/>
                <w:szCs w:val="16"/>
                <w:lang w:val="en-US" w:eastAsia="zh-CN"/>
              </w:rPr>
              <w:t>签字盖章</w:t>
            </w:r>
          </w:p>
        </w:tc>
        <w:tc>
          <w:tcPr>
            <w:tcW w:w="5040" w:type="dxa"/>
            <w:gridSpan w:val="3"/>
            <w:vAlign w:val="center"/>
          </w:tcPr>
          <w:p>
            <w:pPr>
              <w:snapToGrid w:val="0"/>
              <w:spacing w:line="0" w:lineRule="atLeast"/>
              <w:jc w:val="both"/>
              <w:rPr>
                <w:rFonts w:cs="Arial"/>
                <w:b/>
                <w:bCs/>
                <w:sz w:val="22"/>
                <w:szCs w:val="16"/>
                <w:lang w:val="en-US" w:eastAsia="zh-CN"/>
              </w:rPr>
            </w:pPr>
          </w:p>
          <w:p>
            <w:pPr>
              <w:snapToGrid w:val="0"/>
              <w:spacing w:line="0" w:lineRule="atLeast"/>
              <w:jc w:val="both"/>
              <w:rPr>
                <w:rFonts w:cs="Arial"/>
                <w:b/>
                <w:bCs/>
                <w:sz w:val="22"/>
                <w:szCs w:val="16"/>
                <w:lang w:val="en-US" w:eastAsia="zh-CN"/>
              </w:rPr>
            </w:pPr>
          </w:p>
          <w:p>
            <w:pPr>
              <w:snapToGrid w:val="0"/>
              <w:spacing w:line="0" w:lineRule="atLeast"/>
              <w:jc w:val="both"/>
              <w:rPr>
                <w:rFonts w:cs="Arial"/>
                <w:b/>
                <w:bCs/>
                <w:sz w:val="22"/>
                <w:szCs w:val="16"/>
                <w:lang w:val="en-US" w:eastAsia="zh-CN"/>
              </w:rPr>
            </w:pPr>
          </w:p>
          <w:p>
            <w:pPr>
              <w:snapToGrid w:val="0"/>
              <w:spacing w:line="0" w:lineRule="atLeast"/>
              <w:jc w:val="both"/>
              <w:rPr>
                <w:rFonts w:cs="Arial"/>
                <w:b/>
                <w:bCs/>
                <w:sz w:val="22"/>
                <w:szCs w:val="16"/>
                <w:lang w:val="en-US" w:eastAsia="zh-CN"/>
              </w:rPr>
            </w:pPr>
          </w:p>
        </w:tc>
        <w:tc>
          <w:tcPr>
            <w:tcW w:w="1370" w:type="dxa"/>
            <w:vAlign w:val="center"/>
          </w:tcPr>
          <w:p>
            <w:pPr>
              <w:snapToGrid w:val="0"/>
              <w:spacing w:line="0" w:lineRule="atLeast"/>
              <w:jc w:val="both"/>
              <w:rPr>
                <w:rFonts w:hint="eastAsia"/>
                <w:sz w:val="22"/>
                <w:szCs w:val="18"/>
                <w:lang w:val="en-US" w:eastAsia="zh-CN"/>
              </w:rPr>
            </w:pPr>
            <w:r>
              <w:rPr>
                <w:rFonts w:hint="eastAsia"/>
                <w:sz w:val="22"/>
                <w:szCs w:val="18"/>
                <w:lang w:val="en-US" w:eastAsia="zh-CN"/>
              </w:rPr>
              <w:t>审核组长</w:t>
            </w:r>
          </w:p>
          <w:p>
            <w:pPr>
              <w:snapToGrid w:val="0"/>
              <w:spacing w:line="0" w:lineRule="atLeast"/>
              <w:jc w:val="both"/>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pStyle w:val="2"/>
        <w:spacing w:line="0" w:lineRule="atLeast"/>
        <w:ind w:firstLine="0"/>
        <w:rPr>
          <w:rFonts w:hint="eastAsia"/>
          <w:b/>
          <w:color w:val="000000" w:themeColor="text1"/>
          <w:sz w:val="18"/>
          <w:szCs w:val="18"/>
          <w:lang w:val="en-GB" w:eastAsia="zh-CN"/>
        </w:rPr>
      </w:pPr>
      <w:bookmarkStart w:id="12" w:name="_GoBack"/>
      <w:bookmarkEnd w:id="12"/>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2049" o:spid="_x0000_s2049"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60347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2</TotalTime>
  <ScaleCrop>false</ScaleCrop>
  <LinksUpToDate>false</LinksUpToDate>
  <CharactersWithSpaces>1049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2021-08-21T01:27:50Z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2052-11.1.0.10700</vt:lpwstr>
  </property>
</Properties>
</file>