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0796-2021-QEO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山西佳美医疗设备有限公司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山西佳美医疗设备有限公司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山西省太原市万柏林区晋祠路一段86号绿地中央广场A座28层12号</w:t>
            </w:r>
            <w:bookmarkEnd w:id="6"/>
          </w:p>
        </w:tc>
        <w:tc>
          <w:tcPr>
            <w:tcW w:w="1242" w:type="dxa"/>
            <w:vMerge w:val="restart"/>
            <w:vAlign w:val="center"/>
          </w:tcPr>
          <w:p>
            <w:r>
              <w:rPr>
                <w:rFonts w:hint="eastAsia"/>
              </w:rPr>
              <w:t>邮编</w:t>
            </w:r>
          </w:p>
        </w:tc>
        <w:tc>
          <w:tcPr>
            <w:tcW w:w="1771" w:type="dxa"/>
          </w:tcPr>
          <w:p>
            <w:bookmarkStart w:id="7" w:name="注册邮编"/>
            <w:r>
              <w:t>030000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山西省太原市万柏林区晋祠路一段86号绿地中央广场A座28层12号</w:t>
            </w:r>
            <w:bookmarkEnd w:id="8"/>
          </w:p>
        </w:tc>
        <w:tc>
          <w:tcPr>
            <w:tcW w:w="1242" w:type="dxa"/>
            <w:vMerge w:val="continue"/>
            <w:vAlign w:val="center"/>
          </w:tcPr>
          <w:p/>
        </w:tc>
        <w:tc>
          <w:tcPr>
            <w:tcW w:w="1771" w:type="dxa"/>
          </w:tcPr>
          <w:p>
            <w:bookmarkStart w:id="9" w:name="办公邮编"/>
            <w:r>
              <w:t>030000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刘永坚</w:t>
            </w:r>
            <w:bookmarkEnd w:id="10"/>
          </w:p>
        </w:tc>
        <w:tc>
          <w:tcPr>
            <w:tcW w:w="1313" w:type="dxa"/>
            <w:vAlign w:val="center"/>
          </w:tcPr>
          <w:p>
            <w:r>
              <w:rPr>
                <w:rFonts w:hint="eastAsia"/>
              </w:rPr>
              <w:t>电话.</w:t>
            </w:r>
          </w:p>
        </w:tc>
        <w:tc>
          <w:tcPr>
            <w:tcW w:w="2180" w:type="dxa"/>
            <w:vAlign w:val="center"/>
          </w:tcPr>
          <w:p>
            <w:bookmarkStart w:id="11" w:name="联系人电话"/>
            <w:r>
              <w:t>18734911777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刘永坚</w:t>
            </w:r>
            <w:bookmarkEnd w:id="13"/>
          </w:p>
        </w:tc>
        <w:tc>
          <w:tcPr>
            <w:tcW w:w="1313" w:type="dxa"/>
            <w:vAlign w:val="center"/>
          </w:tcPr>
          <w:p>
            <w:r>
              <w:rPr>
                <w:rFonts w:hint="eastAsia"/>
              </w:rPr>
              <w:t>管理者代表</w:t>
            </w:r>
          </w:p>
        </w:tc>
        <w:tc>
          <w:tcPr>
            <w:tcW w:w="2180" w:type="dxa"/>
          </w:tcPr>
          <w:p>
            <w:bookmarkStart w:id="14" w:name="管理者代表"/>
            <w:r>
              <w:t>刘永坚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75860" cy="8343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5860" cy="834390"/>
                          </a:xfrm>
                          <a:prstGeom prst="rect">
                            <a:avLst/>
                          </a:prstGeom>
                          <a:noFill/>
                          <a:ln>
                            <a:noFill/>
                          </a:ln>
                        </pic:spPr>
                      </pic:pic>
                    </a:graphicData>
                  </a:graphic>
                </wp:inline>
              </w:drawing>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2021年08月28日 下午至2021年08月30日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val="de-DE"/>
              </w:rPr>
              <w:t>■</w:t>
            </w:r>
            <w:r>
              <w:rPr>
                <w:rFonts w:hint="eastAsia"/>
              </w:rPr>
              <w:t xml:space="preserve">结合审核   </w:t>
            </w:r>
            <w:r>
              <w:rPr>
                <w:rFonts w:hint="eastAsia"/>
                <w:lang w:val="de-DE"/>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Q：洗涤（湿洗）服务</w:t>
            </w:r>
          </w:p>
          <w:p>
            <w:pPr>
              <w:rPr>
                <w:rFonts w:hint="eastAsia"/>
              </w:rPr>
            </w:pPr>
            <w:r>
              <w:rPr>
                <w:rFonts w:hint="eastAsia"/>
              </w:rPr>
              <w:t>E：洗涤（湿洗）服务所涉及场所的相关环境管理活动</w:t>
            </w:r>
          </w:p>
          <w:p>
            <w:pPr>
              <w:rPr>
                <w:rFonts w:hint="eastAsia"/>
              </w:rPr>
            </w:pPr>
            <w:r>
              <w:rPr>
                <w:rFonts w:hint="eastAsia"/>
              </w:rPr>
              <w:t>O：洗涤（湿洗）服务所涉及场所的相关职业健康安全管理活动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Q：39.19.01</w:t>
            </w:r>
          </w:p>
          <w:p>
            <w:r>
              <w:t>E：39.19.01</w:t>
            </w:r>
          </w:p>
          <w:p>
            <w:r>
              <w:t>O：39.19.01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 xml:space="preserve">年  </w:t>
            </w:r>
            <w:r>
              <w:rPr>
                <w:rFonts w:hint="eastAsia"/>
                <w:lang w:val="en-US" w:eastAsia="zh-CN"/>
              </w:rPr>
              <w:t>1</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66"/>
        <w:gridCol w:w="1710"/>
        <w:gridCol w:w="470"/>
        <w:gridCol w:w="3210"/>
        <w:gridCol w:w="13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6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10" w:type="dxa"/>
            <w:shd w:val="clear" w:color="auto" w:fill="F3F3F3"/>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47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3210"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21" w:type="dxa"/>
            <w:shd w:val="clear" w:color="auto" w:fill="F3F3F3"/>
            <w:tcMar>
              <w:left w:w="57" w:type="dxa"/>
              <w:right w:w="57" w:type="dxa"/>
            </w:tcMar>
          </w:tcPr>
          <w:p>
            <w:pPr>
              <w:pStyle w:val="19"/>
              <w:spacing w:before="0" w:after="0"/>
              <w:jc w:val="left"/>
              <w:rPr>
                <w:rFonts w:eastAsia="黑体" w:cs="Arial"/>
                <w:bCs/>
                <w:sz w:val="21"/>
                <w:szCs w:val="21"/>
                <w:lang w:val="en-US" w:eastAsia="zh-CN"/>
              </w:rPr>
            </w:pPr>
            <w:r>
              <w:rPr>
                <w:rFonts w:eastAsia="黑体" w:cs="Arial"/>
                <w:bCs/>
                <w:sz w:val="21"/>
                <w:szCs w:val="21"/>
                <w:lang w:val="en-US" w:eastAsia="zh-CN"/>
              </w:rPr>
              <w:t>标准</w:t>
            </w:r>
          </w:p>
          <w:p>
            <w:pPr>
              <w:pStyle w:val="19"/>
              <w:spacing w:before="0" w:after="0"/>
              <w:jc w:val="left"/>
              <w:rPr>
                <w:rFonts w:eastAsia="黑体" w:cs="Arial"/>
                <w:bCs/>
                <w:sz w:val="21"/>
                <w:szCs w:val="21"/>
                <w:lang w:val="en-US" w:eastAsia="zh-CN"/>
              </w:rPr>
            </w:pP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66" w:type="dxa"/>
          </w:tcPr>
          <w:p>
            <w:pPr>
              <w:rPr>
                <w:rFonts w:hint="eastAsia" w:ascii="宋体" w:hAnsi="宋体"/>
                <w:b w:val="0"/>
                <w:bCs/>
                <w:sz w:val="18"/>
                <w:szCs w:val="18"/>
                <w:lang w:val="en-US" w:eastAsia="zh-CN"/>
              </w:rPr>
            </w:pPr>
            <w:r>
              <w:rPr>
                <w:rFonts w:hint="eastAsia" w:ascii="宋体" w:hAnsi="宋体"/>
                <w:b w:val="0"/>
                <w:bCs/>
                <w:sz w:val="18"/>
                <w:szCs w:val="18"/>
              </w:rPr>
              <w:t>山西佳美医疗设备有限公司</w:t>
            </w:r>
            <w:r>
              <w:rPr>
                <w:rFonts w:hint="eastAsia" w:ascii="宋体" w:hAnsi="宋体"/>
                <w:b w:val="0"/>
                <w:bCs/>
                <w:sz w:val="18"/>
                <w:szCs w:val="18"/>
                <w:lang w:val="en-US" w:eastAsia="zh-CN"/>
              </w:rPr>
              <w:t>/</w:t>
            </w:r>
            <w:r>
              <w:rPr>
                <w:rFonts w:hint="eastAsia" w:ascii="宋体" w:hAnsi="宋体"/>
                <w:b w:val="0"/>
                <w:bCs/>
                <w:sz w:val="18"/>
                <w:szCs w:val="18"/>
              </w:rPr>
              <w:t>山西省太原市万柏林区晋祠路一段86号绿地中央广场A座28层12号</w:t>
            </w:r>
          </w:p>
        </w:tc>
        <w:tc>
          <w:tcPr>
            <w:tcW w:w="1710" w:type="dxa"/>
          </w:tcPr>
          <w:p>
            <w:pPr>
              <w:rPr>
                <w:rFonts w:hint="eastAsia" w:ascii="宋体" w:hAnsi="宋体"/>
                <w:b w:val="0"/>
                <w:bCs/>
                <w:sz w:val="18"/>
                <w:szCs w:val="18"/>
              </w:rPr>
            </w:pPr>
            <w:r>
              <w:rPr>
                <w:rFonts w:hint="eastAsia" w:ascii="宋体" w:hAnsi="宋体"/>
                <w:b w:val="0"/>
                <w:bCs/>
                <w:sz w:val="18"/>
                <w:szCs w:val="18"/>
                <w:lang w:val="en-US" w:eastAsia="zh-CN"/>
              </w:rPr>
              <w:t>1、</w:t>
            </w:r>
            <w:r>
              <w:rPr>
                <w:rFonts w:hint="eastAsia" w:ascii="宋体" w:hAnsi="宋体"/>
                <w:b w:val="0"/>
                <w:bCs/>
                <w:sz w:val="18"/>
                <w:szCs w:val="18"/>
              </w:rPr>
              <w:t>山西省太原市万柏林区晋祠路一段86号绿地中央广场A座28层12号</w:t>
            </w:r>
          </w:p>
          <w:p>
            <w:pPr>
              <w:rPr>
                <w:rFonts w:hint="eastAsia" w:ascii="宋体" w:hAnsi="宋体"/>
                <w:b w:val="0"/>
                <w:bCs/>
                <w:sz w:val="18"/>
                <w:szCs w:val="18"/>
                <w:lang w:val="de-DE" w:eastAsia="ja-JP"/>
              </w:rPr>
            </w:pPr>
            <w:r>
              <w:rPr>
                <w:rFonts w:hint="eastAsia" w:ascii="宋体" w:hAnsi="宋体"/>
                <w:b w:val="0"/>
                <w:bCs/>
                <w:sz w:val="18"/>
                <w:szCs w:val="18"/>
                <w:lang w:val="en-US" w:eastAsia="zh-CN"/>
              </w:rPr>
              <w:t>2、</w:t>
            </w:r>
            <w:r>
              <w:rPr>
                <w:rFonts w:hint="eastAsia" w:ascii="宋体" w:hAnsi="宋体" w:eastAsia="宋体" w:cs="Times New Roman"/>
                <w:b w:val="0"/>
                <w:bCs/>
                <w:sz w:val="18"/>
                <w:szCs w:val="18"/>
                <w:lang w:val="en-US" w:eastAsia="zh-CN"/>
              </w:rPr>
              <w:t>山西综改示范区太原阳曲园区新</w:t>
            </w:r>
            <w:bookmarkStart w:id="34" w:name="_GoBack"/>
            <w:bookmarkEnd w:id="34"/>
            <w:r>
              <w:rPr>
                <w:rFonts w:hint="eastAsia" w:ascii="宋体" w:hAnsi="宋体" w:eastAsia="宋体" w:cs="Times New Roman"/>
                <w:b w:val="0"/>
                <w:bCs/>
                <w:sz w:val="18"/>
                <w:szCs w:val="18"/>
                <w:lang w:val="en-US" w:eastAsia="zh-CN"/>
              </w:rPr>
              <w:t>赵路107号</w:t>
            </w:r>
          </w:p>
        </w:tc>
        <w:tc>
          <w:tcPr>
            <w:tcW w:w="47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3210" w:type="dxa"/>
            <w:vAlign w:val="center"/>
          </w:tcPr>
          <w:p>
            <w:pPr>
              <w:rPr>
                <w:rFonts w:hint="eastAsia" w:ascii="宋体" w:hAnsi="宋体"/>
                <w:b w:val="0"/>
                <w:bCs/>
                <w:sz w:val="18"/>
                <w:szCs w:val="18"/>
                <w:lang w:val="en-US" w:eastAsia="zh-CN"/>
              </w:rPr>
            </w:pPr>
            <w:r>
              <w:rPr>
                <w:rFonts w:hint="eastAsia" w:ascii="宋体" w:hAnsi="宋体"/>
                <w:b w:val="0"/>
                <w:bCs/>
                <w:sz w:val="18"/>
                <w:szCs w:val="18"/>
                <w:lang w:val="en-US" w:eastAsia="zh-CN"/>
              </w:rPr>
              <w:t>Q：洗涤（湿洗）服务</w:t>
            </w:r>
          </w:p>
          <w:p>
            <w:pPr>
              <w:rPr>
                <w:rFonts w:hint="eastAsia" w:ascii="宋体" w:hAnsi="宋体"/>
                <w:b w:val="0"/>
                <w:bCs/>
                <w:sz w:val="18"/>
                <w:szCs w:val="18"/>
                <w:lang w:val="en-US" w:eastAsia="zh-CN"/>
              </w:rPr>
            </w:pPr>
            <w:r>
              <w:rPr>
                <w:rFonts w:hint="eastAsia" w:ascii="宋体" w:hAnsi="宋体"/>
                <w:b w:val="0"/>
                <w:bCs/>
                <w:sz w:val="18"/>
                <w:szCs w:val="18"/>
                <w:lang w:val="en-US" w:eastAsia="zh-CN"/>
              </w:rPr>
              <w:t>E：洗涤（湿洗）服务所涉及场所的相关环境管理活动</w:t>
            </w:r>
          </w:p>
          <w:p>
            <w:pPr>
              <w:rPr>
                <w:rFonts w:hint="eastAsia" w:ascii="宋体" w:hAnsi="宋体"/>
                <w:b w:val="0"/>
                <w:bCs/>
                <w:sz w:val="18"/>
                <w:szCs w:val="18"/>
                <w:lang w:val="en-US" w:eastAsia="ja-JP"/>
              </w:rPr>
            </w:pPr>
            <w:r>
              <w:rPr>
                <w:rFonts w:hint="eastAsia" w:ascii="宋体" w:hAnsi="宋体"/>
                <w:b w:val="0"/>
                <w:bCs/>
                <w:sz w:val="18"/>
                <w:szCs w:val="18"/>
                <w:lang w:val="en-US" w:eastAsia="zh-CN"/>
              </w:rPr>
              <w:t>O：洗涤（湿洗）服务所涉及场所的相关职业健康安全管理活动</w:t>
            </w:r>
          </w:p>
        </w:tc>
        <w:tc>
          <w:tcPr>
            <w:tcW w:w="1321" w:type="dxa"/>
            <w:vAlign w:val="center"/>
          </w:tcPr>
          <w:p>
            <w:pPr>
              <w:rPr>
                <w:rFonts w:hint="eastAsia" w:ascii="宋体" w:hAnsi="宋体"/>
                <w:b w:val="0"/>
                <w:bCs/>
                <w:sz w:val="18"/>
                <w:szCs w:val="18"/>
              </w:rPr>
            </w:pPr>
            <w:r>
              <w:rPr>
                <w:rFonts w:hint="eastAsia" w:ascii="宋体" w:hAnsi="宋体"/>
                <w:b w:val="0"/>
                <w:bCs/>
                <w:sz w:val="18"/>
                <w:szCs w:val="18"/>
              </w:rPr>
              <w:t>GB/T19001-2016/</w:t>
            </w:r>
          </w:p>
          <w:p>
            <w:pPr>
              <w:rPr>
                <w:rFonts w:hint="eastAsia" w:ascii="宋体" w:hAnsi="宋体"/>
                <w:b w:val="0"/>
                <w:bCs/>
                <w:sz w:val="18"/>
                <w:szCs w:val="18"/>
              </w:rPr>
            </w:pPr>
            <w:r>
              <w:rPr>
                <w:rFonts w:hint="eastAsia" w:ascii="宋体" w:hAnsi="宋体"/>
                <w:b w:val="0"/>
                <w:bCs/>
                <w:sz w:val="18"/>
                <w:szCs w:val="18"/>
              </w:rPr>
              <w:t>GB/T24001-2016</w:t>
            </w:r>
          </w:p>
          <w:p>
            <w:pPr>
              <w:rPr>
                <w:rFonts w:ascii="宋体" w:hAnsi="宋体"/>
                <w:b w:val="0"/>
                <w:bCs/>
                <w:sz w:val="18"/>
                <w:szCs w:val="18"/>
              </w:rPr>
            </w:pPr>
            <w:r>
              <w:rPr>
                <w:rFonts w:hint="eastAsia" w:ascii="宋体" w:hAnsi="宋体"/>
                <w:b w:val="0"/>
                <w:bCs/>
                <w:sz w:val="18"/>
                <w:szCs w:val="18"/>
              </w:rPr>
              <w:t>GB/T45001-2020</w:t>
            </w:r>
          </w:p>
          <w:p>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2019-N1QMS-3072033</w:t>
            </w:r>
          </w:p>
          <w:p>
            <w:r>
              <w:t>2021-N1EMS-3072033</w:t>
            </w:r>
          </w:p>
          <w:p>
            <w:r>
              <w:t>2021-N1OHSMS-3072033</w:t>
            </w:r>
          </w:p>
        </w:tc>
        <w:tc>
          <w:tcPr>
            <w:tcW w:w="2179" w:type="dxa"/>
            <w:vAlign w:val="center"/>
          </w:tcPr>
          <w:p>
            <w:r>
              <w:t>O:39.19.01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组员</w:t>
            </w:r>
          </w:p>
        </w:tc>
        <w:tc>
          <w:tcPr>
            <w:tcW w:w="711" w:type="dxa"/>
            <w:vAlign w:val="center"/>
          </w:tcPr>
          <w:p>
            <w:r>
              <w:t>男</w:t>
            </w:r>
          </w:p>
        </w:tc>
        <w:tc>
          <w:tcPr>
            <w:tcW w:w="3870" w:type="dxa"/>
            <w:vAlign w:val="center"/>
          </w:tcPr>
          <w:p>
            <w:r>
              <w:t>2021-N1QMS-1281767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杨思雨</w:t>
            </w:r>
          </w:p>
        </w:tc>
        <w:tc>
          <w:tcPr>
            <w:tcW w:w="1089" w:type="dxa"/>
            <w:vAlign w:val="center"/>
          </w:tcPr>
          <w:p>
            <w:r>
              <w:t>组员</w:t>
            </w:r>
          </w:p>
        </w:tc>
        <w:tc>
          <w:tcPr>
            <w:tcW w:w="711" w:type="dxa"/>
            <w:vAlign w:val="center"/>
          </w:tcPr>
          <w:p>
            <w:r>
              <w:t>女</w:t>
            </w:r>
          </w:p>
        </w:tc>
        <w:tc>
          <w:tcPr>
            <w:tcW w:w="3870" w:type="dxa"/>
            <w:vAlign w:val="center"/>
          </w:tcPr>
          <w:p>
            <w:r>
              <w:t>ISC-JSZJ-366</w:t>
            </w:r>
          </w:p>
          <w:p>
            <w:r>
              <w:t>ISC-JSZJ-366</w:t>
            </w:r>
          </w:p>
          <w:p>
            <w:r>
              <w:t>ISC-JSZJ-366</w:t>
            </w:r>
          </w:p>
          <w:p>
            <w:r>
              <w:t>山西焕然医新洗涤服务有限公司</w:t>
            </w:r>
          </w:p>
        </w:tc>
        <w:tc>
          <w:tcPr>
            <w:tcW w:w="2179" w:type="dxa"/>
            <w:vAlign w:val="center"/>
          </w:tcPr>
          <w:p>
            <w:r>
              <w:t>Q:39.19.01</w:t>
            </w:r>
          </w:p>
          <w:p>
            <w:r>
              <w:t>E:39.19.01</w:t>
            </w:r>
          </w:p>
          <w:p>
            <w:r>
              <w:t>O:39.19.01</w:t>
            </w: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1" locked="0" layoutInCell="1" allowOverlap="1">
                  <wp:simplePos x="0" y="0"/>
                  <wp:positionH relativeFrom="column">
                    <wp:posOffset>182880</wp:posOffset>
                  </wp:positionH>
                  <wp:positionV relativeFrom="paragraph">
                    <wp:posOffset>-2988310</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lang w:eastAsia="zh-CN"/>
              </w:rPr>
              <w:t>□</w:t>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lang w:val="en-US" w:eastAsia="zh-CN"/>
              </w:rPr>
              <w:t>精心服务质量优先</w:t>
            </w:r>
            <w:r>
              <w:rPr>
                <w:rFonts w:hint="eastAsia" w:ascii="Times New Roman" w:hAnsi="Times New Roman" w:eastAsia="宋体" w:cs="Times New Roman"/>
                <w:u w:val="single"/>
              </w:rPr>
              <w:t xml:space="preserve">，预防污染保护环境；关爱员工健康安全，持续改进追求卓越。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pPr>
                  <w:r>
                    <w:rPr>
                      <w:rFonts w:hint="eastAsia"/>
                    </w:rPr>
                    <w:t>主要的风险或机遇描述</w:t>
                  </w:r>
                </w:p>
              </w:tc>
              <w:tc>
                <w:tcPr>
                  <w:tcW w:w="3700" w:type="dxa"/>
                </w:tcPr>
                <w:p>
                  <w:pPr>
                    <w:shd w:val="clear" w:color="auto" w:fill="C7DAF1" w:themeFill="text2" w:themeFillTint="32"/>
                  </w:pPr>
                  <w:r>
                    <w:rPr>
                      <w:rFonts w:hint="eastAsia"/>
                    </w:rPr>
                    <w:t>应对措施</w:t>
                  </w:r>
                </w:p>
              </w:tc>
              <w:tc>
                <w:tcPr>
                  <w:tcW w:w="15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2.客户要求识别不完整。</w:t>
                  </w:r>
                </w:p>
                <w:p>
                  <w:pPr>
                    <w:shd w:val="clear" w:color="auto" w:fill="C7DAF1" w:themeFill="text2" w:themeFillTint="32"/>
                  </w:pPr>
                  <w:r>
                    <w:rPr>
                      <w:rFonts w:hint="eastAsia" w:ascii="仿宋" w:hAnsi="仿宋" w:eastAsia="仿宋" w:cs="仿宋"/>
                    </w:rPr>
                    <w:t>3.未能确保能够满足客户要求就签署合同</w:t>
                  </w:r>
                </w:p>
              </w:tc>
              <w:tc>
                <w:tcPr>
                  <w:tcW w:w="3700"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2.对客户的要求实施监视和测量。</w:t>
                  </w:r>
                </w:p>
                <w:p>
                  <w:pPr>
                    <w:shd w:val="clear" w:color="auto" w:fill="C7DAF1" w:themeFill="text2" w:themeFillTint="32"/>
                  </w:pPr>
                  <w:r>
                    <w:rPr>
                      <w:rFonts w:hint="eastAsia" w:ascii="仿宋" w:hAnsi="仿宋" w:eastAsia="仿宋" w:cs="仿宋"/>
                    </w:rPr>
                    <w:t>3.在确定与客户签署合同前落实合同评审事宜。</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301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质量目标</w:t>
                  </w:r>
                </w:p>
              </w:tc>
              <w:tc>
                <w:tcPr>
                  <w:tcW w:w="3013"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计算方法</w:t>
                  </w:r>
                </w:p>
              </w:tc>
              <w:tc>
                <w:tcPr>
                  <w:tcW w:w="1350"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责任部门</w:t>
                  </w:r>
                </w:p>
              </w:tc>
              <w:tc>
                <w:tcPr>
                  <w:tcW w:w="177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lang w:val="en-US" w:eastAsia="zh-CN"/>
                    </w:rPr>
                    <w:t>一次交付合格率100%</w:t>
                  </w:r>
                </w:p>
              </w:tc>
              <w:tc>
                <w:tcPr>
                  <w:tcW w:w="3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交付数/洗涤总数</w:t>
                  </w:r>
                </w:p>
              </w:tc>
              <w:tc>
                <w:tcPr>
                  <w:tcW w:w="13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办公室</w:t>
                  </w:r>
                </w:p>
              </w:tc>
              <w:tc>
                <w:tcPr>
                  <w:tcW w:w="17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lang w:val="en-US" w:eastAsia="zh-CN"/>
                    </w:rPr>
                    <w:t>客户满意率≥95%</w:t>
                  </w:r>
                </w:p>
              </w:tc>
              <w:tc>
                <w:tcPr>
                  <w:tcW w:w="3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满意数/总顾客满意数</w:t>
                  </w:r>
                </w:p>
              </w:tc>
              <w:tc>
                <w:tcPr>
                  <w:tcW w:w="13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办公室</w:t>
                  </w:r>
                </w:p>
              </w:tc>
              <w:tc>
                <w:tcPr>
                  <w:tcW w:w="17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lang w:val="en-US" w:eastAsia="zh-CN"/>
                    </w:rPr>
                    <w:t>完成</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ascii="Times New Roman" w:hAnsi="Times New Roman" w:eastAsia="宋体" w:cs="Times New Roman"/>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洗衣机</w:t>
            </w:r>
            <w:r>
              <w:rPr>
                <w:rFonts w:hint="eastAsia"/>
                <w:u w:val="single"/>
                <w:lang w:eastAsia="zh-CN"/>
              </w:rPr>
              <w:t>、</w:t>
            </w:r>
            <w:r>
              <w:rPr>
                <w:rFonts w:hint="eastAsia"/>
                <w:u w:val="single"/>
                <w:lang w:val="en-US" w:eastAsia="zh-CN"/>
              </w:rPr>
              <w:t>烘干机、烫平机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522"/>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2522" w:type="dxa"/>
                </w:tcPr>
                <w:p>
                  <w:pPr>
                    <w:shd w:val="clear" w:color="auto" w:fill="C7DAF1" w:themeFill="text2" w:themeFillTint="32"/>
                    <w:jc w:val="left"/>
                  </w:pPr>
                  <w:r>
                    <w:rPr>
                      <w:rFonts w:hint="eastAsia"/>
                    </w:rPr>
                    <w:t>关键过程</w:t>
                  </w:r>
                </w:p>
              </w:tc>
              <w:tc>
                <w:tcPr>
                  <w:tcW w:w="4408"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92" w:type="dxa"/>
                </w:tcPr>
                <w:p>
                  <w:pPr>
                    <w:shd w:val="clear" w:color="auto" w:fill="C7DAF1" w:themeFill="text2" w:themeFillTint="32"/>
                    <w:jc w:val="left"/>
                    <w:rPr>
                      <w:rFonts w:hint="default" w:eastAsia="宋体"/>
                      <w:lang w:val="en-US" w:eastAsia="zh-CN"/>
                    </w:rPr>
                  </w:pPr>
                  <w:r>
                    <w:rPr>
                      <w:rFonts w:hint="eastAsia"/>
                      <w:lang w:val="en-US" w:eastAsia="zh-CN"/>
                    </w:rPr>
                    <w:t>洗涤服务</w:t>
                  </w:r>
                </w:p>
              </w:tc>
              <w:tc>
                <w:tcPr>
                  <w:tcW w:w="2522" w:type="dxa"/>
                </w:tcPr>
                <w:p>
                  <w:pPr>
                    <w:shd w:val="clear" w:color="auto" w:fill="C7DAF1" w:themeFill="text2" w:themeFillTint="32"/>
                    <w:jc w:val="left"/>
                    <w:rPr>
                      <w:rFonts w:hint="default" w:eastAsia="宋体"/>
                      <w:lang w:val="en-US" w:eastAsia="zh-CN"/>
                    </w:rPr>
                  </w:pPr>
                  <w:r>
                    <w:rPr>
                      <w:rFonts w:hint="eastAsia"/>
                      <w:lang w:val="en-US" w:eastAsia="zh-CN"/>
                    </w:rPr>
                    <w:t>洗涤过程</w:t>
                  </w:r>
                </w:p>
              </w:tc>
              <w:tc>
                <w:tcPr>
                  <w:tcW w:w="4408" w:type="dxa"/>
                </w:tcPr>
                <w:p>
                  <w:pPr>
                    <w:shd w:val="clear" w:color="auto" w:fill="C7DAF1" w:themeFill="text2" w:themeFillTint="32"/>
                    <w:jc w:val="left"/>
                  </w:pPr>
                  <w:r>
                    <w:rPr>
                      <w:rFonts w:hint="eastAsia"/>
                      <w:lang w:val="en-US" w:eastAsia="zh-CN"/>
                    </w:rPr>
                    <w:t>温度、时间、洗涤机和消毒剂的加入量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洗涤过程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eastAsia="宋体"/>
                <w:lang w:eastAsia="zh-CN"/>
              </w:rPr>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洗涤的衣料</w:t>
            </w:r>
            <w:r>
              <w:rPr>
                <w:rFonts w:hint="eastAsia"/>
                <w:lang w:eastAsia="zh-CN"/>
              </w:rPr>
              <w:t>）</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97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46"/>
        <w:gridCol w:w="510"/>
        <w:gridCol w:w="54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546" w:type="dxa"/>
            <w:vAlign w:val="center"/>
          </w:tcPr>
          <w:p>
            <w:pPr>
              <w:shd w:val="clear" w:color="auto" w:fill="C7DAF1" w:themeFill="text2" w:themeFillTint="32"/>
              <w:rPr>
                <w:lang w:eastAsia="ja-JP"/>
              </w:rPr>
            </w:pPr>
            <w:r>
              <w:rPr>
                <w:rFonts w:hint="eastAsia"/>
              </w:rPr>
              <w:t>6.2</w:t>
            </w:r>
          </w:p>
        </w:tc>
        <w:tc>
          <w:tcPr>
            <w:tcW w:w="510" w:type="dxa"/>
            <w:vAlign w:val="center"/>
          </w:tcPr>
          <w:p>
            <w:pPr>
              <w:shd w:val="clear" w:color="auto" w:fill="C7DAF1" w:themeFill="text2" w:themeFillTint="32"/>
              <w:rPr>
                <w:lang w:eastAsia="ja-JP"/>
              </w:rPr>
            </w:pPr>
            <w:r>
              <w:rPr>
                <w:rFonts w:hint="eastAsia"/>
              </w:rPr>
              <w:t>6.3</w:t>
            </w:r>
          </w:p>
        </w:tc>
        <w:tc>
          <w:tcPr>
            <w:tcW w:w="540" w:type="dxa"/>
            <w:shd w:val="clear" w:color="auto" w:fill="BFBFBF"/>
            <w:vAlign w:val="center"/>
          </w:tcPr>
          <w:p>
            <w:pPr>
              <w:shd w:val="clear" w:color="auto" w:fill="C7DAF1" w:themeFill="text2" w:themeFillTint="32"/>
              <w:rPr>
                <w:lang w:eastAsia="ja-JP"/>
              </w:rPr>
            </w:pPr>
          </w:p>
        </w:tc>
        <w:tc>
          <w:tcPr>
            <w:tcW w:w="59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546" w:type="dxa"/>
            <w:vAlign w:val="center"/>
          </w:tcPr>
          <w:p>
            <w:pPr>
              <w:shd w:val="clear" w:color="auto" w:fill="C7DAF1" w:themeFill="text2" w:themeFillTint="32"/>
              <w:rPr>
                <w:lang w:eastAsia="ja-JP"/>
              </w:rPr>
            </w:pPr>
          </w:p>
        </w:tc>
        <w:tc>
          <w:tcPr>
            <w:tcW w:w="510" w:type="dxa"/>
            <w:vAlign w:val="center"/>
          </w:tcPr>
          <w:p>
            <w:pPr>
              <w:shd w:val="clear" w:color="auto" w:fill="C7DAF1" w:themeFill="text2" w:themeFillTint="32"/>
              <w:rPr>
                <w:lang w:eastAsia="ja-JP"/>
              </w:rPr>
            </w:pPr>
          </w:p>
        </w:tc>
        <w:tc>
          <w:tcPr>
            <w:tcW w:w="540" w:type="dxa"/>
            <w:shd w:val="clear" w:color="auto" w:fill="BFBFBF"/>
            <w:vAlign w:val="center"/>
          </w:tcPr>
          <w:p>
            <w:pPr>
              <w:shd w:val="clear" w:color="auto" w:fill="C7DAF1" w:themeFill="text2" w:themeFillTint="32"/>
              <w:rPr>
                <w:lang w:eastAsia="ja-JP"/>
              </w:rPr>
            </w:pPr>
          </w:p>
        </w:tc>
        <w:tc>
          <w:tcPr>
            <w:tcW w:w="59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546" w:type="dxa"/>
            <w:vAlign w:val="center"/>
          </w:tcPr>
          <w:p>
            <w:pPr>
              <w:shd w:val="clear" w:color="auto" w:fill="C7DAF1" w:themeFill="text2" w:themeFillTint="32"/>
              <w:rPr>
                <w:lang w:eastAsia="ja-JP"/>
              </w:rPr>
            </w:pPr>
          </w:p>
        </w:tc>
        <w:tc>
          <w:tcPr>
            <w:tcW w:w="510" w:type="dxa"/>
            <w:vAlign w:val="center"/>
          </w:tcPr>
          <w:p>
            <w:pPr>
              <w:shd w:val="clear" w:color="auto" w:fill="C7DAF1" w:themeFill="text2" w:themeFillTint="32"/>
              <w:rPr>
                <w:lang w:eastAsia="ja-JP"/>
              </w:rPr>
            </w:pPr>
          </w:p>
        </w:tc>
        <w:tc>
          <w:tcPr>
            <w:tcW w:w="540" w:type="dxa"/>
            <w:shd w:val="clear" w:color="auto" w:fill="BFBFBF"/>
            <w:vAlign w:val="center"/>
          </w:tcPr>
          <w:p>
            <w:pPr>
              <w:shd w:val="clear" w:color="auto" w:fill="C7DAF1" w:themeFill="text2" w:themeFillTint="32"/>
              <w:rPr>
                <w:lang w:eastAsia="ja-JP"/>
              </w:rPr>
            </w:pPr>
          </w:p>
        </w:tc>
        <w:tc>
          <w:tcPr>
            <w:tcW w:w="59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546" w:type="dxa"/>
            <w:vAlign w:val="center"/>
          </w:tcPr>
          <w:p>
            <w:pPr>
              <w:shd w:val="clear" w:color="auto" w:fill="C7DAF1" w:themeFill="text2" w:themeFillTint="32"/>
              <w:rPr>
                <w:lang w:eastAsia="ja-JP"/>
              </w:rPr>
            </w:pPr>
            <w:r>
              <w:rPr>
                <w:rFonts w:hint="eastAsia"/>
              </w:rPr>
              <w:t>8.4</w:t>
            </w:r>
          </w:p>
        </w:tc>
        <w:tc>
          <w:tcPr>
            <w:tcW w:w="510" w:type="dxa"/>
            <w:vAlign w:val="center"/>
          </w:tcPr>
          <w:p>
            <w:pPr>
              <w:shd w:val="clear" w:color="auto" w:fill="C7DAF1" w:themeFill="text2" w:themeFillTint="32"/>
              <w:rPr>
                <w:lang w:eastAsia="ja-JP"/>
              </w:rPr>
            </w:pPr>
            <w:r>
              <w:rPr>
                <w:rFonts w:hint="eastAsia"/>
              </w:rPr>
              <w:t>8.5</w:t>
            </w:r>
          </w:p>
        </w:tc>
        <w:tc>
          <w:tcPr>
            <w:tcW w:w="540" w:type="dxa"/>
            <w:vAlign w:val="center"/>
          </w:tcPr>
          <w:p>
            <w:pPr>
              <w:shd w:val="clear" w:color="auto" w:fill="C7DAF1" w:themeFill="text2" w:themeFillTint="32"/>
              <w:rPr>
                <w:lang w:eastAsia="ja-JP"/>
              </w:rPr>
            </w:pPr>
            <w:r>
              <w:rPr>
                <w:rFonts w:hint="eastAsia"/>
              </w:rPr>
              <w:t>8.6</w:t>
            </w:r>
          </w:p>
        </w:tc>
        <w:tc>
          <w:tcPr>
            <w:tcW w:w="59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546" w:type="dxa"/>
            <w:vAlign w:val="center"/>
          </w:tcPr>
          <w:p>
            <w:pPr>
              <w:shd w:val="clear" w:color="auto" w:fill="C7DAF1" w:themeFill="text2" w:themeFillTint="32"/>
              <w:rPr>
                <w:lang w:eastAsia="ja-JP"/>
              </w:rPr>
            </w:pPr>
          </w:p>
        </w:tc>
        <w:tc>
          <w:tcPr>
            <w:tcW w:w="510" w:type="dxa"/>
            <w:vAlign w:val="center"/>
          </w:tcPr>
          <w:p>
            <w:pPr>
              <w:shd w:val="clear" w:color="auto" w:fill="C7DAF1" w:themeFill="text2" w:themeFillTint="32"/>
              <w:rPr>
                <w:lang w:eastAsia="ja-JP"/>
              </w:rPr>
            </w:pPr>
          </w:p>
        </w:tc>
        <w:tc>
          <w:tcPr>
            <w:tcW w:w="540" w:type="dxa"/>
            <w:vAlign w:val="center"/>
          </w:tcPr>
          <w:p>
            <w:pPr>
              <w:shd w:val="clear" w:color="auto" w:fill="C7DAF1" w:themeFill="text2" w:themeFillTint="32"/>
              <w:rPr>
                <w:lang w:eastAsia="ja-JP"/>
              </w:rPr>
            </w:pPr>
          </w:p>
        </w:tc>
        <w:tc>
          <w:tcPr>
            <w:tcW w:w="59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546" w:type="dxa"/>
            <w:tcBorders>
              <w:bottom w:val="single" w:color="auto" w:sz="4" w:space="0"/>
            </w:tcBorders>
            <w:vAlign w:val="center"/>
          </w:tcPr>
          <w:p>
            <w:pPr>
              <w:shd w:val="clear" w:color="auto" w:fill="C7DAF1" w:themeFill="text2" w:themeFillTint="32"/>
              <w:rPr>
                <w:lang w:eastAsia="ja-JP"/>
              </w:rPr>
            </w:pPr>
          </w:p>
        </w:tc>
        <w:tc>
          <w:tcPr>
            <w:tcW w:w="510" w:type="dxa"/>
            <w:tcBorders>
              <w:bottom w:val="single" w:color="auto" w:sz="4" w:space="0"/>
            </w:tcBorders>
            <w:vAlign w:val="center"/>
          </w:tcPr>
          <w:p>
            <w:pPr>
              <w:shd w:val="clear" w:color="auto" w:fill="C7DAF1" w:themeFill="text2" w:themeFillTint="32"/>
              <w:rPr>
                <w:lang w:eastAsia="ja-JP"/>
              </w:rPr>
            </w:pPr>
          </w:p>
        </w:tc>
        <w:tc>
          <w:tcPr>
            <w:tcW w:w="540" w:type="dxa"/>
            <w:tcBorders>
              <w:bottom w:val="single" w:color="auto" w:sz="4" w:space="0"/>
            </w:tcBorders>
            <w:vAlign w:val="center"/>
          </w:tcPr>
          <w:p>
            <w:pPr>
              <w:shd w:val="clear" w:color="auto" w:fill="C7DAF1" w:themeFill="text2" w:themeFillTint="32"/>
              <w:rPr>
                <w:lang w:eastAsia="ja-JP"/>
              </w:rPr>
            </w:pPr>
          </w:p>
        </w:tc>
        <w:tc>
          <w:tcPr>
            <w:tcW w:w="59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546" w:type="dxa"/>
            <w:shd w:val="pct25" w:color="auto" w:fill="auto"/>
            <w:vAlign w:val="center"/>
          </w:tcPr>
          <w:p>
            <w:pPr>
              <w:shd w:val="clear" w:color="auto" w:fill="C7DAF1" w:themeFill="text2" w:themeFillTint="32"/>
              <w:rPr>
                <w:lang w:eastAsia="ja-JP"/>
              </w:rPr>
            </w:pPr>
          </w:p>
        </w:tc>
        <w:tc>
          <w:tcPr>
            <w:tcW w:w="510" w:type="dxa"/>
            <w:shd w:val="pct25" w:color="auto" w:fill="auto"/>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c>
          <w:tcPr>
            <w:tcW w:w="59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546" w:type="dxa"/>
            <w:shd w:val="pct25" w:color="auto" w:fill="auto"/>
            <w:vAlign w:val="center"/>
          </w:tcPr>
          <w:p>
            <w:pPr>
              <w:shd w:val="clear" w:color="auto" w:fill="C7DAF1" w:themeFill="text2" w:themeFillTint="32"/>
              <w:rPr>
                <w:lang w:eastAsia="ja-JP"/>
              </w:rPr>
            </w:pPr>
          </w:p>
        </w:tc>
        <w:tc>
          <w:tcPr>
            <w:tcW w:w="510" w:type="dxa"/>
            <w:shd w:val="pct25" w:color="auto" w:fill="auto"/>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c>
          <w:tcPr>
            <w:tcW w:w="59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546" w:type="dxa"/>
            <w:shd w:val="pct25" w:color="auto" w:fill="auto"/>
            <w:vAlign w:val="center"/>
          </w:tcPr>
          <w:p>
            <w:pPr>
              <w:shd w:val="clear" w:color="auto" w:fill="C7DAF1" w:themeFill="text2" w:themeFillTint="32"/>
              <w:rPr>
                <w:lang w:eastAsia="ja-JP"/>
              </w:rPr>
            </w:pPr>
          </w:p>
        </w:tc>
        <w:tc>
          <w:tcPr>
            <w:tcW w:w="510" w:type="dxa"/>
            <w:shd w:val="pct25" w:color="auto" w:fill="auto"/>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c>
          <w:tcPr>
            <w:tcW w:w="59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w:t>
                  </w:r>
                  <w:r>
                    <w:rPr>
                      <w:rFonts w:hint="eastAsia"/>
                      <w:lang w:eastAsia="zh-CN"/>
                    </w:rPr>
                    <w:t>☑</w:t>
                  </w:r>
                  <w:r>
                    <w:rPr>
                      <w:rFonts w:hint="eastAsia"/>
                    </w:rPr>
                    <w:t xml:space="preserve">社会 □经济环境 </w:t>
                  </w:r>
                </w:p>
                <w:p>
                  <w:pPr>
                    <w:shd w:val="clear" w:color="auto" w:fill="EBF1DE" w:themeFill="accent3" w:themeFillTint="32"/>
                  </w:pPr>
                  <w:r>
                    <w:rPr>
                      <w:rFonts w:hint="eastAsia"/>
                      <w:lang w:eastAsia="zh-CN"/>
                    </w:rPr>
                    <w:t>☑</w:t>
                  </w: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lang w:val="en-US" w:eastAsia="zh-CN"/>
              </w:rPr>
              <w:t>精心服务质量优先</w:t>
            </w:r>
            <w:r>
              <w:rPr>
                <w:rFonts w:hint="eastAsia" w:ascii="Times New Roman" w:hAnsi="Times New Roman" w:eastAsia="宋体" w:cs="Times New Roman"/>
                <w:u w:val="single"/>
              </w:rPr>
              <w:t>，预防污染保护环境；关爱员工健康安全，持续改进追求卓越。</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color w:val="auto"/>
                    </w:rPr>
                  </w:pPr>
                  <w:r>
                    <w:rPr>
                      <w:rFonts w:hint="eastAsia"/>
                      <w:color w:val="auto"/>
                    </w:rPr>
                    <w:t>主要的风险或机遇描述</w:t>
                  </w:r>
                </w:p>
              </w:tc>
              <w:tc>
                <w:tcPr>
                  <w:tcW w:w="3700" w:type="dxa"/>
                </w:tcPr>
                <w:p>
                  <w:pPr>
                    <w:shd w:val="clear" w:color="auto" w:fill="C7DAF1" w:themeFill="text2" w:themeFillTint="32"/>
                    <w:rPr>
                      <w:color w:val="auto"/>
                    </w:rPr>
                  </w:pPr>
                  <w:r>
                    <w:rPr>
                      <w:rFonts w:hint="eastAsia"/>
                      <w:color w:val="auto"/>
                    </w:rPr>
                    <w:t>应对措施</w:t>
                  </w:r>
                </w:p>
              </w:tc>
              <w:tc>
                <w:tcPr>
                  <w:tcW w:w="1518"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2.客户要求识别不完整。</w:t>
                  </w:r>
                </w:p>
                <w:p>
                  <w:pPr>
                    <w:shd w:val="clear" w:color="auto" w:fill="C7DAF1" w:themeFill="text2" w:themeFillTint="32"/>
                    <w:rPr>
                      <w:color w:val="auto"/>
                    </w:rPr>
                  </w:pPr>
                  <w:r>
                    <w:rPr>
                      <w:rFonts w:hint="eastAsia" w:ascii="仿宋" w:hAnsi="仿宋" w:eastAsia="仿宋" w:cs="仿宋"/>
                      <w:color w:val="auto"/>
                    </w:rPr>
                    <w:t>3.未能确保能够满足客户要求就签署合同</w:t>
                  </w:r>
                </w:p>
              </w:tc>
              <w:tc>
                <w:tcPr>
                  <w:tcW w:w="3700"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2.对客户的要求实施监视和测量。</w:t>
                  </w:r>
                </w:p>
                <w:p>
                  <w:pPr>
                    <w:shd w:val="clear" w:color="auto" w:fill="C7DAF1" w:themeFill="text2" w:themeFillTint="32"/>
                    <w:rPr>
                      <w:color w:val="auto"/>
                    </w:rPr>
                  </w:pPr>
                  <w:r>
                    <w:rPr>
                      <w:rFonts w:hint="eastAsia" w:ascii="仿宋" w:hAnsi="仿宋" w:eastAsia="仿宋" w:cs="仿宋"/>
                      <w:color w:val="auto"/>
                    </w:rPr>
                    <w:t>3.在确定与客户签署合同前落实合同评审事宜。</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有效</w:t>
                  </w:r>
                </w:p>
              </w:tc>
            </w:tr>
          </w:tbl>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□废气排放 □粉尘排放  □危废排放 </w:t>
            </w:r>
            <w:r>
              <w:rPr>
                <w:rFonts w:hint="eastAsia"/>
                <w:lang w:eastAsia="zh-CN"/>
              </w:rPr>
              <w:t>☑</w:t>
            </w:r>
            <w:r>
              <w:rPr>
                <w:rFonts w:hint="eastAsia"/>
              </w:rPr>
              <w:t xml:space="preserve">噪声排放  □危化品泄露 </w:t>
            </w:r>
            <w:r>
              <w:rPr>
                <w:rFonts w:hint="eastAsia"/>
                <w:lang w:eastAsia="zh-CN"/>
              </w:rPr>
              <w:t>☑</w:t>
            </w:r>
            <w:r>
              <w:rPr>
                <w:rFonts w:hint="eastAsia"/>
              </w:rPr>
              <w:t xml:space="preserve">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 xml:space="preserve">排污许可证编号： </w:t>
            </w:r>
            <w:r>
              <w:rPr>
                <w:rFonts w:hint="eastAsia"/>
                <w:u w:val="single"/>
              </w:rPr>
              <w:t xml:space="preserve"> </w:t>
            </w:r>
            <w:r>
              <w:rPr>
                <w:rFonts w:hint="eastAsia"/>
                <w:u w:val="single"/>
                <w:lang w:val="en-US" w:eastAsia="zh-CN"/>
              </w:rPr>
              <w:t>91140100731937411P001P</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2019年3月1日</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lang w:eastAsia="zh-CN"/>
              </w:rPr>
              <w:t>☑</w:t>
            </w: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02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02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tcPr>
                <w:p>
                  <w:pPr>
                    <w:shd w:val="clear" w:color="auto" w:fill="EBF1DE" w:themeFill="accent3" w:themeFillTint="32"/>
                  </w:pPr>
                  <w:r>
                    <w:rPr>
                      <w:rFonts w:hint="eastAsia"/>
                      <w:lang w:val="en-US" w:eastAsia="zh-CN"/>
                    </w:rPr>
                    <w:t>废水达标排放</w:t>
                  </w:r>
                </w:p>
              </w:tc>
              <w:tc>
                <w:tcPr>
                  <w:tcW w:w="3023"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洗涤废水先进行沉淀再排入到太原市污水处理站。</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auto"/>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火灾事故发生率为0</w:t>
                  </w:r>
                </w:p>
              </w:tc>
              <w:tc>
                <w:tcPr>
                  <w:tcW w:w="3023"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日常检查，严格控制火源</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ascii="Times New Roman" w:hAnsi="Times New Roman" w:eastAsia="宋体" w:cs="Times New Roman"/>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洗衣机、烘干机、烫平机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沉淀池、灭火器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建有沉淀池、直接排入污水处理站</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控制洗衣机的运行，减少噪声排放</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控制火源，加强日常检查</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锅炉以及安全阀的检定</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w:t>
            </w:r>
            <w:r>
              <w:rPr>
                <w:rFonts w:hint="eastAsia" w:ascii="Times New Roman" w:hAnsi="Times New Roman" w:eastAsia="宋体" w:cs="Times New Roman"/>
                <w:u w:val="single"/>
                <w:lang w:val="en-US" w:eastAsia="zh-CN"/>
              </w:rPr>
              <w:t>精心服务质量优先</w:t>
            </w:r>
            <w:r>
              <w:rPr>
                <w:rFonts w:hint="eastAsia" w:ascii="Times New Roman" w:hAnsi="Times New Roman" w:eastAsia="宋体" w:cs="Times New Roman"/>
                <w:u w:val="single"/>
              </w:rPr>
              <w:t>，预防污染保护环境；关爱员工健康安全，持续改进追求卓越。</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总经理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王维平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color w:val="auto"/>
                    </w:rPr>
                  </w:pPr>
                  <w:r>
                    <w:rPr>
                      <w:rFonts w:hint="eastAsia"/>
                      <w:color w:val="auto"/>
                    </w:rPr>
                    <w:t>主要的风险或机遇描述</w:t>
                  </w:r>
                </w:p>
              </w:tc>
              <w:tc>
                <w:tcPr>
                  <w:tcW w:w="3700" w:type="dxa"/>
                </w:tcPr>
                <w:p>
                  <w:pPr>
                    <w:shd w:val="clear" w:color="auto" w:fill="C7DAF1" w:themeFill="text2" w:themeFillTint="32"/>
                    <w:rPr>
                      <w:color w:val="auto"/>
                    </w:rPr>
                  </w:pPr>
                  <w:r>
                    <w:rPr>
                      <w:rFonts w:hint="eastAsia"/>
                      <w:color w:val="auto"/>
                    </w:rPr>
                    <w:t>应对措施</w:t>
                  </w:r>
                </w:p>
              </w:tc>
              <w:tc>
                <w:tcPr>
                  <w:tcW w:w="1518"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2.客户要求识别不完整。</w:t>
                  </w:r>
                </w:p>
                <w:p>
                  <w:pPr>
                    <w:shd w:val="clear" w:color="auto" w:fill="C7DAF1" w:themeFill="text2" w:themeFillTint="32"/>
                    <w:rPr>
                      <w:color w:val="auto"/>
                    </w:rPr>
                  </w:pPr>
                  <w:r>
                    <w:rPr>
                      <w:rFonts w:hint="eastAsia" w:ascii="仿宋" w:hAnsi="仿宋" w:eastAsia="仿宋" w:cs="仿宋"/>
                      <w:color w:val="auto"/>
                    </w:rPr>
                    <w:t>3.未能确保能够满足客户要求就签署合同</w:t>
                  </w:r>
                </w:p>
              </w:tc>
              <w:tc>
                <w:tcPr>
                  <w:tcW w:w="3700"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2.对客户的要求实施监视和测量。</w:t>
                  </w:r>
                </w:p>
                <w:p>
                  <w:pPr>
                    <w:shd w:val="clear" w:color="auto" w:fill="C7DAF1" w:themeFill="text2" w:themeFillTint="32"/>
                    <w:rPr>
                      <w:color w:val="auto"/>
                    </w:rPr>
                  </w:pPr>
                  <w:r>
                    <w:rPr>
                      <w:rFonts w:hint="eastAsia" w:ascii="仿宋" w:hAnsi="仿宋" w:eastAsia="仿宋" w:cs="仿宋"/>
                      <w:color w:val="auto"/>
                    </w:rPr>
                    <w:t>3.在确定与客户签署合同前落实合同评审事宜。</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rFonts w:hint="default" w:eastAsia="宋体"/>
                <w:lang w:val="en-US" w:eastAsia="zh-CN"/>
              </w:rPr>
            </w:pPr>
            <w:r>
              <w:rPr>
                <w:rFonts w:hint="eastAsia"/>
                <w:lang w:eastAsia="zh-CN"/>
              </w:rPr>
              <w:t>☑</w:t>
            </w:r>
            <w:r>
              <w:rPr>
                <w:rFonts w:hint="eastAsia"/>
              </w:rPr>
              <w:t xml:space="preserve">安全现状评估报告表日期： </w:t>
            </w:r>
            <w:r>
              <w:rPr>
                <w:rFonts w:hint="eastAsia"/>
                <w:lang w:val="en-US" w:eastAsia="zh-CN"/>
              </w:rPr>
              <w:t>2021.4</w:t>
            </w:r>
          </w:p>
          <w:p>
            <w:r>
              <w:rPr>
                <w:rFonts w:hint="eastAsia"/>
                <w:lang w:eastAsia="zh-CN"/>
              </w:rPr>
              <w:t>☑</w:t>
            </w:r>
            <w:r>
              <w:rPr>
                <w:rFonts w:hint="eastAsia"/>
              </w:rPr>
              <w:t>职业病体检报告书日期：</w:t>
            </w:r>
            <w:r>
              <w:rPr>
                <w:rFonts w:hint="eastAsia"/>
                <w:lang w:val="en-US" w:eastAsia="zh-CN"/>
              </w:rPr>
              <w:t>2021.1</w:t>
            </w:r>
            <w:r>
              <w:rPr>
                <w:rFonts w:hint="eastAsia"/>
              </w:rPr>
              <w:t xml:space="preserve">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w:t>
            </w: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294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auto"/>
                </w:tcPr>
                <w:p>
                  <w:pPr>
                    <w:rPr>
                      <w:rFonts w:ascii="宋体" w:hAnsi="宋体"/>
                    </w:rPr>
                  </w:pPr>
                  <w:r>
                    <w:rPr>
                      <w:rFonts w:hint="eastAsia"/>
                    </w:rPr>
                    <w:t>职业健康安全</w:t>
                  </w:r>
                  <w:r>
                    <w:rPr>
                      <w:rFonts w:hint="eastAsia" w:ascii="宋体" w:hAnsi="宋体"/>
                    </w:rPr>
                    <w:t>目标</w:t>
                  </w:r>
                </w:p>
              </w:tc>
              <w:tc>
                <w:tcPr>
                  <w:tcW w:w="2943"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auto"/>
                </w:tcPr>
                <w:p>
                  <w:r>
                    <w:rPr>
                      <w:rFonts w:hint="eastAsia" w:ascii="仿宋" w:hAnsi="仿宋" w:eastAsia="仿宋" w:cs="仿宋"/>
                      <w:sz w:val="24"/>
                      <w:szCs w:val="24"/>
                      <w:u w:val="none"/>
                      <w:lang w:val="en-US" w:eastAsia="zh-CN"/>
                    </w:rPr>
                    <w:t>细菌感染事故为0</w:t>
                  </w:r>
                </w:p>
              </w:tc>
              <w:tc>
                <w:tcPr>
                  <w:tcW w:w="2943" w:type="dxa"/>
                  <w:shd w:val="clear" w:color="auto" w:fill="auto"/>
                  <w:vAlign w:val="center"/>
                </w:tcPr>
                <w:p>
                  <w:pPr>
                    <w:rPr>
                      <w:rFonts w:hint="default" w:eastAsia="宋体"/>
                      <w:lang w:val="en-US" w:eastAsia="zh-CN"/>
                    </w:rPr>
                  </w:pPr>
                  <w:r>
                    <w:rPr>
                      <w:rFonts w:hint="eastAsia"/>
                      <w:lang w:val="en-US" w:eastAsia="zh-CN"/>
                    </w:rPr>
                    <w:t>做好培训工作、做好防护工作</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auto"/>
                </w:tcPr>
                <w:p>
                  <w:r>
                    <w:rPr>
                      <w:rFonts w:hint="eastAsia" w:ascii="仿宋" w:hAnsi="仿宋" w:eastAsia="仿宋" w:cs="仿宋"/>
                      <w:sz w:val="24"/>
                      <w:szCs w:val="24"/>
                      <w:u w:val="none"/>
                      <w:lang w:val="en-US" w:eastAsia="zh-CN"/>
                    </w:rPr>
                    <w:t>火灾事故发生率为0</w:t>
                  </w:r>
                </w:p>
              </w:tc>
              <w:tc>
                <w:tcPr>
                  <w:tcW w:w="2943" w:type="dxa"/>
                  <w:shd w:val="clear" w:color="auto" w:fill="auto"/>
                  <w:vAlign w:val="center"/>
                </w:tcPr>
                <w:p>
                  <w:pPr>
                    <w:rPr>
                      <w:rFonts w:hint="default" w:ascii="宋体" w:hAnsi="宋体" w:eastAsia="宋体"/>
                      <w:lang w:val="en-US" w:eastAsia="zh-CN"/>
                    </w:rPr>
                  </w:pPr>
                  <w:r>
                    <w:rPr>
                      <w:rFonts w:hint="eastAsia" w:ascii="宋体" w:hAnsi="宋体"/>
                      <w:lang w:val="en-US" w:eastAsia="zh-CN"/>
                    </w:rPr>
                    <w:t>控制火源，加强日常检查</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ascii="Times New Roman" w:hAnsi="Times New Roman" w:eastAsia="宋体" w:cs="Times New Roman"/>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洗衣机、烘干机、烫平机</w:t>
            </w:r>
            <w:r>
              <w:rPr>
                <w:rFonts w:hint="eastAsia"/>
                <w:u w:val="single"/>
              </w:rPr>
              <w:t xml:space="preserve"> （列举2~4种）</w:t>
            </w:r>
          </w:p>
          <w:p>
            <w:pPr>
              <w:rPr>
                <w:rFonts w:hint="eastAsia" w:eastAsia="宋体"/>
                <w:lang w:val="en-US" w:eastAsia="zh-CN"/>
              </w:rPr>
            </w:pPr>
            <w:r>
              <w:rPr>
                <w:rFonts w:hint="eastAsia"/>
              </w:rPr>
              <w:t>主要安全装置有：</w:t>
            </w:r>
            <w:r>
              <w:rPr>
                <w:rFonts w:hint="eastAsia"/>
                <w:u w:val="single"/>
                <w:lang w:val="en-US" w:eastAsia="zh-CN"/>
              </w:rPr>
              <w:t>灭火器。</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洗衣液、消毒液</w:t>
            </w:r>
            <w:r>
              <w:rPr>
                <w:rFonts w:hint="eastAsia"/>
                <w:lang w:eastAsia="zh-CN"/>
              </w:rPr>
              <w:t>）</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 xml:space="preserve">□空间隔离  </w:t>
                  </w:r>
                  <w:r>
                    <w:rPr>
                      <w:rFonts w:hint="eastAsia"/>
                      <w:lang w:eastAsia="zh-CN"/>
                    </w:rPr>
                    <w:t>☑</w:t>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 xml:space="preserve">定期检测  </w:t>
                  </w:r>
                  <w:r>
                    <w:rPr>
                      <w:rFonts w:hint="eastAsia"/>
                      <w:lang w:eastAsia="zh-CN"/>
                    </w:rPr>
                    <w:t>☑</w:t>
                  </w:r>
                  <w:r>
                    <w:rPr>
                      <w:rFonts w:hint="eastAsia"/>
                    </w:rPr>
                    <w:t xml:space="preserve">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w:t>
                  </w:r>
                  <w:r>
                    <w:rPr>
                      <w:rFonts w:hint="eastAsia"/>
                      <w:lang w:eastAsia="zh-CN"/>
                    </w:rPr>
                    <w:t>☑</w:t>
                  </w:r>
                  <w:r>
                    <w:rPr>
                      <w:rFonts w:hint="eastAsia"/>
                    </w:rPr>
                    <w:t xml:space="preserve">空间隔离  </w:t>
                  </w:r>
                  <w:r>
                    <w:rPr>
                      <w:rFonts w:hint="eastAsia"/>
                      <w:lang w:eastAsia="zh-CN"/>
                    </w:rPr>
                    <w:t>☑</w:t>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锅炉检定报告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KYTJZJ 2021-034</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C46596"/>
    <w:rsid w:val="40E24BA9"/>
    <w:rsid w:val="45CD53B1"/>
    <w:rsid w:val="6ABA0F8C"/>
    <w:rsid w:val="71D15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字符"/>
    <w:basedOn w:val="9"/>
    <w:link w:val="2"/>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2021-09-17T03:34:31Z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