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0302-2020-Q-2021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重庆冠营包装有限公司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重庆冠营包装有限公司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重庆市永川区塘湾路5号</w:t>
            </w:r>
            <w:bookmarkEnd w:id="6"/>
          </w:p>
        </w:tc>
        <w:tc>
          <w:tcPr>
            <w:tcW w:w="1242" w:type="dxa"/>
            <w:vMerge w:val="restart"/>
            <w:vAlign w:val="center"/>
          </w:tcPr>
          <w:p>
            <w:r>
              <w:rPr>
                <w:rFonts w:hint="eastAsia"/>
              </w:rPr>
              <w:t>邮编</w:t>
            </w:r>
          </w:p>
        </w:tc>
        <w:tc>
          <w:tcPr>
            <w:tcW w:w="1771" w:type="dxa"/>
          </w:tcPr>
          <w:p>
            <w:bookmarkStart w:id="7" w:name="注册邮编"/>
            <w:r>
              <w:t>402160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重庆市永川区塘湾路5号</w:t>
            </w:r>
            <w:bookmarkEnd w:id="8"/>
          </w:p>
        </w:tc>
        <w:tc>
          <w:tcPr>
            <w:tcW w:w="1242" w:type="dxa"/>
            <w:vMerge w:val="continue"/>
            <w:vAlign w:val="center"/>
          </w:tcPr>
          <w:p/>
        </w:tc>
        <w:tc>
          <w:tcPr>
            <w:tcW w:w="1771" w:type="dxa"/>
          </w:tcPr>
          <w:p>
            <w:bookmarkStart w:id="9" w:name="办公邮编"/>
            <w:r>
              <w:t>402160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陈智家</w:t>
            </w:r>
            <w:bookmarkEnd w:id="10"/>
          </w:p>
        </w:tc>
        <w:tc>
          <w:tcPr>
            <w:tcW w:w="1313" w:type="dxa"/>
            <w:vAlign w:val="center"/>
          </w:tcPr>
          <w:p>
            <w:r>
              <w:rPr>
                <w:rFonts w:hint="eastAsia"/>
              </w:rPr>
              <w:t>电话.</w:t>
            </w:r>
          </w:p>
        </w:tc>
        <w:tc>
          <w:tcPr>
            <w:tcW w:w="2180" w:type="dxa"/>
            <w:vAlign w:val="center"/>
          </w:tcPr>
          <w:p>
            <w:bookmarkStart w:id="11" w:name="联系人电话"/>
            <w:r>
              <w:t>18888144679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陈智家</w:t>
            </w:r>
            <w:bookmarkEnd w:id="13"/>
          </w:p>
        </w:tc>
        <w:tc>
          <w:tcPr>
            <w:tcW w:w="1313" w:type="dxa"/>
            <w:vAlign w:val="center"/>
          </w:tcPr>
          <w:p>
            <w:r>
              <w:rPr>
                <w:rFonts w:hint="eastAsia"/>
              </w:rPr>
              <w:t>管理者代表</w:t>
            </w:r>
          </w:p>
        </w:tc>
        <w:tc>
          <w:tcPr>
            <w:tcW w:w="2180" w:type="dxa"/>
          </w:tcPr>
          <w:p>
            <w:bookmarkStart w:id="14" w:name="管理者代表"/>
            <w:r>
              <w:t>龙远望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ascii="宋体" w:hAnsi="宋体" w:cs="宋体"/>
                <w:color w:val="000000"/>
                <w:kern w:val="0"/>
                <w:szCs w:val="21"/>
              </w:rPr>
              <w:t>纸箱的生产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2021年08月17日 上午至2021年08月17日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9" w:name="审核范围"/>
            <w:r>
              <w:rPr>
                <w:rFonts w:hint="eastAsia"/>
              </w:rPr>
              <w:t>纸箱的生产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07.02.01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spacing w:line="360" w:lineRule="auto"/>
              <w:ind w:firstLine="420" w:firstLineChars="200"/>
              <w:rPr>
                <w:rFonts w:hint="default" w:eastAsia="宋体"/>
                <w:lang w:val="en-US" w:eastAsia="zh-CN"/>
              </w:rPr>
            </w:pPr>
            <w:r>
              <w:rPr>
                <w:rFonts w:hint="eastAsia"/>
                <w:lang w:val="en-US" w:eastAsia="zh-CN"/>
              </w:rPr>
              <w:t>组织</w:t>
            </w:r>
            <w:r>
              <w:rPr>
                <w:rFonts w:hint="eastAsia" w:ascii="Times New Roman" w:hAnsi="Times New Roman" w:eastAsia="宋体" w:cs="Times New Roman"/>
                <w:lang w:val="en-US" w:eastAsia="zh-CN"/>
              </w:rPr>
              <w:t>生产的纸箱严格按客户要求（客户提供图纸、注册商标）及国家相关法律法规和标准进行生产，生产过程不需要进一步细化顾客的要求，也无权修改要求，对产品的缺陷不负责，采购原料及加工工艺成熟固定，整个生产过程不涉及新的设计开发过程，故8.3不适用。该条款的不适用不影响组织提供满足客户产品质量要求及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val="de-DE"/>
              </w:rPr>
              <w:t>■</w:t>
            </w:r>
            <w:r>
              <w:rPr>
                <w:rFonts w:hint="eastAsia"/>
              </w:rPr>
              <w:t xml:space="preserve">受审核组织没有设计开发的责任    </w:t>
            </w:r>
          </w:p>
          <w:p>
            <w:r>
              <w:rPr>
                <w:rFonts w:hint="eastAsia"/>
                <w:lang w:val="de-DE"/>
              </w:rPr>
              <w:t>■</w:t>
            </w:r>
            <w:r>
              <w:rPr>
                <w:rFonts w:hint="eastAsia"/>
              </w:rPr>
              <w:t xml:space="preserve">受审核组织没有设计开发的能力   </w:t>
            </w:r>
          </w:p>
          <w:p>
            <w:r>
              <w:rPr>
                <w:rFonts w:hint="eastAsia"/>
                <w:lang w:val="de-DE"/>
              </w:rPr>
              <w:t>■</w:t>
            </w:r>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val="de-DE"/>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8</w:t>
            </w:r>
            <w:r>
              <w:rPr>
                <w:rFonts w:hint="eastAsia" w:ascii="宋体" w:hAnsi="宋体"/>
                <w:sz w:val="21"/>
                <w:szCs w:val="21"/>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bookmarkStart w:id="31" w:name="审核开始日"/>
            <w:r>
              <w:rPr>
                <w:rFonts w:hint="eastAsia"/>
                <w:color w:val="000000"/>
                <w:szCs w:val="21"/>
              </w:rPr>
              <w:t>2020年07月08日 上午</w:t>
            </w:r>
            <w:bookmarkEnd w:id="31"/>
            <w:r>
              <w:rPr>
                <w:rFonts w:hint="eastAsia"/>
                <w:color w:val="000000"/>
                <w:szCs w:val="21"/>
                <w:lang w:eastAsia="zh-CN"/>
              </w:rPr>
              <w:t>至</w:t>
            </w:r>
          </w:p>
          <w:p>
            <w:r>
              <w:rPr>
                <w:color w:val="000000"/>
                <w:szCs w:val="21"/>
              </w:rPr>
              <w:t xml:space="preserve"> </w:t>
            </w:r>
            <w:bookmarkStart w:id="32" w:name="审核结束日"/>
            <w:r>
              <w:rPr>
                <w:rFonts w:hint="eastAsia"/>
                <w:color w:val="000000"/>
                <w:szCs w:val="21"/>
              </w:rPr>
              <w:t>2020年07月09日 下午</w:t>
            </w:r>
            <w:bookmarkEnd w:id="32"/>
          </w:p>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 xml:space="preserve">  年</w:t>
            </w:r>
            <w:r>
              <w:rPr>
                <w:rFonts w:hint="eastAsia"/>
                <w:lang w:val="en-US" w:eastAsia="zh-CN"/>
              </w:rPr>
              <w:t>7</w:t>
            </w:r>
            <w:r>
              <w:rPr>
                <w:rFonts w:hint="eastAsia"/>
              </w:rPr>
              <w:t xml:space="preserve"> 月 </w:t>
            </w:r>
            <w:r>
              <w:rPr>
                <w:rFonts w:hint="eastAsia"/>
                <w:lang w:val="en-US" w:eastAsia="zh-CN"/>
              </w:rPr>
              <w:t>15</w:t>
            </w:r>
            <w:r>
              <w:rPr>
                <w:rFonts w:hint="eastAsia"/>
              </w:rPr>
              <w:t xml:space="preserve">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201" w:type="dxa"/>
          </w:tcPr>
          <w:p>
            <w:r>
              <w:rPr>
                <w:rFonts w:hint="eastAsia"/>
              </w:rPr>
              <w:t>□未完成审核计划</w:t>
            </w:r>
          </w:p>
        </w:tc>
        <w:tc>
          <w:tcPr>
            <w:tcW w:w="5761" w:type="dxa"/>
          </w:tcPr>
          <w:p>
            <w:r>
              <w:rPr>
                <w:rFonts w:hint="eastAsia"/>
              </w:rPr>
              <w:t>未完成的内容和原因是:</w:t>
            </w:r>
          </w:p>
        </w:tc>
      </w:tr>
    </w:tbl>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变更内容</w:t>
            </w:r>
          </w:p>
        </w:tc>
        <w:tc>
          <w:tcPr>
            <w:tcW w:w="741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主要负责人变更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临时场所地址变更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认证范围变更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体系员工人数较大变更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设备设施重大变更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产品/工艺重大变更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7412" w:type="dxa"/>
          </w:tcPr>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管代变更为何安潞</w:t>
            </w: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 xml:space="preserve">（见 </w:t>
      </w:r>
      <w:r>
        <w:rPr>
          <w:rFonts w:hint="eastAsia"/>
          <w:lang w:val="de-DE"/>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val="de-DE"/>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上次不符合发生在生产部，涉及条款</w:t>
            </w:r>
            <w:r>
              <w:rPr>
                <w:rFonts w:hint="eastAsia"/>
                <w:lang w:val="en-US" w:eastAsia="zh-CN"/>
              </w:rPr>
              <w:t>7.1.5条款。经本次验证得到整改，无类似情况发生。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rPr>
              <w:t>依据规定使用标志和证书。有进行相关的抽查（</w:t>
            </w:r>
            <w:r>
              <w:rPr>
                <w:rFonts w:hint="eastAsia"/>
              </w:rPr>
              <w:t>如：名片，公司宣传册</w:t>
            </w:r>
            <w:r>
              <w:rPr>
                <w:rFonts w:hint="eastAsia"/>
                <w:lang w:eastAsia="zh-CN"/>
              </w:rPr>
              <w:t>，产品包装上</w:t>
            </w:r>
            <w:r>
              <w:rPr>
                <w:rFonts w:hint="eastAsia"/>
              </w:rPr>
              <w:t>等）</w:t>
            </w:r>
            <w:r>
              <w:rPr>
                <w:rFonts w:hint="eastAsia"/>
                <w:lang w:eastAsia="zh-CN"/>
              </w:rPr>
              <w:t>无违规使用情况。</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val="de-DE"/>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rFonts w:hint="eastAsia"/>
        </w:rPr>
      </w:pPr>
      <w:r>
        <w:rPr>
          <w:rFonts w:hint="eastAsia"/>
        </w:rPr>
        <w:t>未开具不符合报告在5工作日/一般不符合报告在20工作日/严重不符合在60个工作日之内，针对不符合原因制定并实施纠正措施。验证方式见《不符合项报告》。</w:t>
      </w:r>
    </w:p>
    <w:p>
      <w:pPr>
        <w:pStyle w:val="2"/>
      </w:pP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体系名称缩写</w:t>
            </w:r>
          </w:p>
        </w:tc>
        <w:tc>
          <w:tcPr>
            <w:tcW w:w="169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一般不符合数量</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严重不符合数量</w:t>
            </w:r>
          </w:p>
        </w:tc>
        <w:tc>
          <w:tcPr>
            <w:tcW w:w="156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不符合项总数</w:t>
            </w:r>
          </w:p>
        </w:tc>
        <w:tc>
          <w:tcPr>
            <w:tcW w:w="296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QMS</w:t>
            </w:r>
          </w:p>
        </w:tc>
        <w:tc>
          <w:tcPr>
            <w:tcW w:w="1698"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717" w:type="dxa"/>
          </w:tcPr>
          <w:p>
            <w:pPr>
              <w:rPr>
                <w:color w:val="000000" w:themeColor="text1"/>
                <w14:textFill>
                  <w14:solidFill>
                    <w14:schemeClr w14:val="tx1"/>
                  </w14:solidFill>
                </w14:textFill>
              </w:rPr>
            </w:pPr>
          </w:p>
        </w:tc>
        <w:tc>
          <w:tcPr>
            <w:tcW w:w="1560"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2965" w:type="dxa"/>
          </w:tcPr>
          <w:p>
            <w:pPr>
              <w:rPr>
                <w:color w:val="000000" w:themeColor="text1"/>
                <w14:textFill>
                  <w14:solidFill>
                    <w14:schemeClr w14:val="tx1"/>
                  </w14:solidFill>
                </w14:textFill>
              </w:rPr>
            </w:pPr>
            <w:r>
              <w:rPr>
                <w:rFonts w:hint="eastAsia"/>
                <w:color w:val="000000" w:themeColor="text1"/>
                <w:lang w:val="de-DE"/>
                <w14:textFill>
                  <w14:solidFill>
                    <w14:schemeClr w14:val="tx1"/>
                  </w14:solidFill>
                </w14:textFill>
              </w:rPr>
              <w:t>■</w:t>
            </w:r>
            <w:r>
              <w:rPr>
                <w:rFonts w:hint="eastAsia"/>
                <w:color w:val="000000" w:themeColor="text1"/>
                <w14:textFill>
                  <w14:solidFill>
                    <w14:schemeClr w14:val="tx1"/>
                  </w14:solidFill>
                </w14:textFill>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50430</w:t>
            </w:r>
          </w:p>
        </w:tc>
        <w:tc>
          <w:tcPr>
            <w:tcW w:w="1698" w:type="dxa"/>
          </w:tcPr>
          <w:p>
            <w:pPr>
              <w:rPr>
                <w:color w:val="000000" w:themeColor="text1"/>
                <w14:textFill>
                  <w14:solidFill>
                    <w14:schemeClr w14:val="tx1"/>
                  </w14:solidFill>
                </w14:textFill>
              </w:rPr>
            </w:pPr>
          </w:p>
        </w:tc>
        <w:tc>
          <w:tcPr>
            <w:tcW w:w="1717" w:type="dxa"/>
          </w:tcPr>
          <w:p>
            <w:pPr>
              <w:rPr>
                <w:color w:val="000000" w:themeColor="text1"/>
                <w14:textFill>
                  <w14:solidFill>
                    <w14:schemeClr w14:val="tx1"/>
                  </w14:solidFill>
                </w14:textFill>
              </w:rPr>
            </w:pPr>
          </w:p>
        </w:tc>
        <w:tc>
          <w:tcPr>
            <w:tcW w:w="1560" w:type="dxa"/>
          </w:tcPr>
          <w:p>
            <w:pPr>
              <w:rPr>
                <w:color w:val="000000" w:themeColor="text1"/>
                <w14:textFill>
                  <w14:solidFill>
                    <w14:schemeClr w14:val="tx1"/>
                  </w14:solidFill>
                </w14:textFill>
              </w:rPr>
            </w:pPr>
          </w:p>
        </w:tc>
        <w:tc>
          <w:tcPr>
            <w:tcW w:w="296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EMS</w:t>
            </w:r>
          </w:p>
        </w:tc>
        <w:tc>
          <w:tcPr>
            <w:tcW w:w="1698" w:type="dxa"/>
          </w:tcPr>
          <w:p>
            <w:pPr>
              <w:rPr>
                <w:color w:val="000000" w:themeColor="text1"/>
                <w14:textFill>
                  <w14:solidFill>
                    <w14:schemeClr w14:val="tx1"/>
                  </w14:solidFill>
                </w14:textFill>
              </w:rPr>
            </w:pPr>
          </w:p>
        </w:tc>
        <w:tc>
          <w:tcPr>
            <w:tcW w:w="1717" w:type="dxa"/>
          </w:tcPr>
          <w:p>
            <w:pPr>
              <w:rPr>
                <w:color w:val="000000" w:themeColor="text1"/>
                <w14:textFill>
                  <w14:solidFill>
                    <w14:schemeClr w14:val="tx1"/>
                  </w14:solidFill>
                </w14:textFill>
              </w:rPr>
            </w:pPr>
          </w:p>
        </w:tc>
        <w:tc>
          <w:tcPr>
            <w:tcW w:w="1560" w:type="dxa"/>
          </w:tcPr>
          <w:p>
            <w:pPr>
              <w:rPr>
                <w:color w:val="000000" w:themeColor="text1"/>
                <w14:textFill>
                  <w14:solidFill>
                    <w14:schemeClr w14:val="tx1"/>
                  </w14:solidFill>
                </w14:textFill>
              </w:rPr>
            </w:pPr>
          </w:p>
        </w:tc>
        <w:tc>
          <w:tcPr>
            <w:tcW w:w="296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OHSMS</w:t>
            </w:r>
          </w:p>
        </w:tc>
        <w:tc>
          <w:tcPr>
            <w:tcW w:w="1698" w:type="dxa"/>
          </w:tcPr>
          <w:p>
            <w:pPr>
              <w:rPr>
                <w:color w:val="000000" w:themeColor="text1"/>
                <w14:textFill>
                  <w14:solidFill>
                    <w14:schemeClr w14:val="tx1"/>
                  </w14:solidFill>
                </w14:textFill>
              </w:rPr>
            </w:pPr>
          </w:p>
        </w:tc>
        <w:tc>
          <w:tcPr>
            <w:tcW w:w="1717" w:type="dxa"/>
          </w:tcPr>
          <w:p>
            <w:pPr>
              <w:rPr>
                <w:color w:val="000000" w:themeColor="text1"/>
                <w14:textFill>
                  <w14:solidFill>
                    <w14:schemeClr w14:val="tx1"/>
                  </w14:solidFill>
                </w14:textFill>
              </w:rPr>
            </w:pPr>
          </w:p>
        </w:tc>
        <w:tc>
          <w:tcPr>
            <w:tcW w:w="1560" w:type="dxa"/>
          </w:tcPr>
          <w:p>
            <w:pPr>
              <w:rPr>
                <w:color w:val="000000" w:themeColor="text1"/>
                <w14:textFill>
                  <w14:solidFill>
                    <w14:schemeClr w14:val="tx1"/>
                  </w14:solidFill>
                </w14:textFill>
              </w:rPr>
            </w:pPr>
          </w:p>
        </w:tc>
        <w:tc>
          <w:tcPr>
            <w:tcW w:w="296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val="de-DE"/>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3" w:name="Q勾选Add2"/>
            <w:r>
              <w:rPr>
                <w:rFonts w:hint="eastAsia"/>
              </w:rPr>
              <w:t>■</w:t>
            </w:r>
            <w:bookmarkEnd w:id="3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E勾选Add2"/>
            <w:r>
              <w:rPr>
                <w:rFonts w:hint="eastAsia"/>
              </w:rPr>
              <w:t>□</w:t>
            </w:r>
            <w:bookmarkEnd w:id="3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S勾选Add2"/>
            <w:r>
              <w:rPr>
                <w:rFonts w:hint="eastAsia"/>
              </w:rPr>
              <w:t>□</w:t>
            </w:r>
            <w:bookmarkEnd w:id="3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color w:val="FF0000"/>
              </w:rPr>
            </w:pPr>
            <w:r>
              <w:rPr>
                <w:rFonts w:hint="eastAsia"/>
                <w:color w:val="000000" w:themeColor="text1"/>
                <w14:textFill>
                  <w14:solidFill>
                    <w14:schemeClr w14:val="tx1"/>
                  </w14:solidFill>
                </w14:textFill>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QMS</w:t>
            </w:r>
          </w:p>
          <w:p>
            <w:pPr>
              <w:rPr>
                <w:color w:val="FF0000"/>
              </w:rPr>
            </w:pPr>
          </w:p>
        </w:tc>
        <w:tc>
          <w:tcPr>
            <w:tcW w:w="7380" w:type="dxa"/>
            <w:shd w:val="clear" w:color="auto" w:fill="auto"/>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在完成纠正措施后推荐保持认证注册(</w:t>
            </w:r>
            <w:r>
              <w:rPr>
                <w:rFonts w:hint="eastAsia"/>
                <w:lang w:val="de-DE"/>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tc>
      </w:tr>
    </w:tbl>
    <w:tbl>
      <w:tblPr>
        <w:tblStyle w:val="8"/>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7"/>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1657"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363855</wp:posOffset>
                  </wp:positionH>
                  <wp:positionV relativeFrom="paragraph">
                    <wp:posOffset>43180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2021.8.17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val="de-DE"/>
              </w:rPr>
              <w:t>■</w:t>
            </w:r>
            <w:r>
              <w:rPr>
                <w:rFonts w:hint="eastAsia"/>
              </w:rPr>
              <w:t xml:space="preserve">QMS体系建立以来   </w:t>
            </w:r>
            <w:r>
              <w:rPr>
                <w:rFonts w:hint="eastAsia"/>
                <w:lang w:val="de-DE"/>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lang w:val="de-DE"/>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 xml:space="preserve">□新产品设计开发■原材料采购■外部供方控制 </w:t>
            </w:r>
            <w:r>
              <w:rPr>
                <w:rFonts w:hint="eastAsia"/>
                <w:lang w:val="de-DE"/>
              </w:rPr>
              <w:t>■</w:t>
            </w:r>
            <w:r>
              <w:rPr>
                <w:rFonts w:hint="eastAsia"/>
              </w:rPr>
              <w:t>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GB" w:eastAsia="zh-CN"/>
              </w:rPr>
              <w:t>：无外包过程</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eastAsia="宋体"/>
                <w:sz w:val="21"/>
                <w:szCs w:val="21"/>
              </w:rPr>
              <w:t>科学管理，科技进步；顾客至上，优质服务；精心操作，持续改进；产品质量，再上台阶</w:t>
            </w:r>
            <w:r>
              <w:rPr>
                <w:rFonts w:hint="eastAsia" w:ascii="宋体" w:hAnsi="宋体" w:cs="宋体"/>
                <w:b/>
                <w:bCs/>
                <w:szCs w:val="21"/>
              </w:rPr>
              <w:t>。</w:t>
            </w:r>
            <w:r>
              <w:rPr>
                <w:rFonts w:hint="eastAsia"/>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宋体" w:hAnsi="宋体"/>
                <w:b/>
                <w:color w:val="000000" w:themeColor="text1"/>
                <w:sz w:val="20"/>
                <w:szCs w:val="20"/>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法律、法规内容的变化</w:t>
                  </w:r>
                </w:p>
              </w:tc>
              <w:tc>
                <w:tcPr>
                  <w:tcW w:w="3965" w:type="dxa"/>
                </w:tcPr>
                <w:p>
                  <w:pPr>
                    <w:spacing w:line="360" w:lineRule="auto"/>
                  </w:pPr>
                  <w:r>
                    <w:rPr>
                      <w:rFonts w:hint="eastAsia" w:ascii="宋体" w:hAnsi="宋体" w:cs="宋体"/>
                      <w:sz w:val="21"/>
                      <w:szCs w:val="21"/>
                    </w:rPr>
                    <w:t>主要职能部门按照要求加强相关产品销售区域所在地法政策的收集评价。</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tcPr>
                <w:p>
                  <w:pPr>
                    <w:shd w:val="clear" w:color="auto" w:fill="C7DAF1" w:themeFill="text2" w:themeFillTint="32"/>
                  </w:pPr>
                  <w:r>
                    <w:rPr>
                      <w:rFonts w:hint="eastAsia" w:ascii="宋体" w:hAnsi="宋体" w:cs="宋体"/>
                      <w:sz w:val="21"/>
                      <w:szCs w:val="21"/>
                      <w:lang w:eastAsia="zh-CN"/>
                    </w:rPr>
                    <w:t>市场部</w:t>
                  </w:r>
                  <w:r>
                    <w:rPr>
                      <w:rFonts w:hint="eastAsia" w:ascii="宋体" w:hAnsi="宋体" w:cs="宋体"/>
                      <w:sz w:val="21"/>
                      <w:szCs w:val="21"/>
                    </w:rPr>
                    <w:t>和质量管理部要严格按照售后服务管理规定，做好客户服务工作，提高客户满意度</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人员能力不满足生产技术的发展</w:t>
                  </w:r>
                </w:p>
              </w:tc>
              <w:tc>
                <w:tcPr>
                  <w:tcW w:w="3965" w:type="dxa"/>
                </w:tcPr>
                <w:p>
                  <w:pPr>
                    <w:shd w:val="clear" w:color="auto" w:fill="C7DAF1" w:themeFill="text2" w:themeFillTint="32"/>
                    <w:rPr>
                      <w:rFonts w:hint="eastAsia" w:eastAsia="宋体"/>
                      <w:lang w:eastAsia="zh-CN"/>
                    </w:rPr>
                  </w:pPr>
                  <w:r>
                    <w:rPr>
                      <w:rFonts w:hint="eastAsia"/>
                      <w:lang w:eastAsia="zh-CN"/>
                    </w:rPr>
                    <w:t>加大人员岗位能力培训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原材料的质量及价格使公司的产品不具备竞争能力</w:t>
                  </w:r>
                </w:p>
              </w:tc>
              <w:tc>
                <w:tcPr>
                  <w:tcW w:w="3965" w:type="dxa"/>
                </w:tcPr>
                <w:p>
                  <w:pPr>
                    <w:shd w:val="clear" w:color="auto" w:fill="C7DAF1" w:themeFill="text2" w:themeFillTint="32"/>
                    <w:rPr>
                      <w:rFonts w:hint="eastAsia" w:eastAsia="宋体"/>
                      <w:lang w:eastAsia="zh-CN"/>
                    </w:rPr>
                  </w:pPr>
                  <w:r>
                    <w:rPr>
                      <w:rFonts w:hint="eastAsia"/>
                      <w:lang w:eastAsia="zh-CN"/>
                    </w:rPr>
                    <w:t>组织各部门对供方进行评价评审后比选采购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rPr>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7"/>
              <w:gridCol w:w="21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12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pStyle w:val="7"/>
                    <w:spacing w:before="0" w:beforeAutospacing="0" w:after="0" w:afterAutospacing="0" w:line="500" w:lineRule="exact"/>
                  </w:pPr>
                  <w:r>
                    <w:rPr>
                      <w:rFonts w:hint="eastAsia" w:ascii="宋体" w:hAnsi="宋体" w:eastAsia="宋体" w:cs="Times New Roman"/>
                      <w:kern w:val="2"/>
                      <w:sz w:val="21"/>
                      <w:szCs w:val="22"/>
                      <w:lang w:val="en-US" w:eastAsia="zh-CN" w:bidi="ar-SA"/>
                    </w:rPr>
                    <w:t>产品一次交验合格率≥95%</w:t>
                  </w:r>
                </w:p>
              </w:tc>
              <w:tc>
                <w:tcPr>
                  <w:tcW w:w="2120" w:type="dxa"/>
                  <w:shd w:val="clear" w:color="auto" w:fill="auto"/>
                  <w:vAlign w:val="center"/>
                </w:tcPr>
                <w:p>
                  <w:pPr>
                    <w:shd w:val="clear" w:color="auto" w:fill="C7DAF1" w:themeFill="text2" w:themeFillTint="32"/>
                    <w:rPr>
                      <w:lang w:val="en-GB"/>
                    </w:rPr>
                  </w:pPr>
                  <w:r>
                    <w:rPr>
                      <w:rFonts w:hint="eastAsia" w:ascii="宋体" w:hAnsi="宋体" w:cs="宋体"/>
                      <w:color w:val="000000"/>
                      <w:kern w:val="0"/>
                    </w:rPr>
                    <w:t>合格率=合格量÷检验总数量×100%；</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pPr>
                  <w:r>
                    <w:rPr>
                      <w:rFonts w:hint="eastAsia" w:ascii="宋体" w:hAnsi="宋体" w:eastAsia="宋体" w:cs="Times New Roman"/>
                      <w:kern w:val="2"/>
                      <w:sz w:val="21"/>
                      <w:szCs w:val="22"/>
                      <w:lang w:val="en-US" w:eastAsia="zh-CN" w:bidi="ar-SA"/>
                    </w:rPr>
                    <w:t>顾客满意度≥95</w:t>
                  </w:r>
                  <w:r>
                    <w:rPr>
                      <w:rFonts w:hint="eastAsia" w:ascii="宋体" w:hAnsi="宋体" w:cs="Times New Roman"/>
                      <w:kern w:val="2"/>
                      <w:sz w:val="21"/>
                      <w:szCs w:val="22"/>
                      <w:lang w:val="en-US" w:eastAsia="zh-CN" w:bidi="ar-SA"/>
                    </w:rPr>
                    <w:t>%</w:t>
                  </w:r>
                </w:p>
              </w:tc>
              <w:tc>
                <w:tcPr>
                  <w:tcW w:w="2120" w:type="dxa"/>
                  <w:shd w:val="clear" w:color="auto" w:fill="auto"/>
                  <w:vAlign w:val="center"/>
                </w:tcPr>
                <w:p>
                  <w:pPr>
                    <w:shd w:val="clear" w:color="auto" w:fill="C7DAF1" w:themeFill="text2" w:themeFillTint="32"/>
                    <w:rPr>
                      <w:rFonts w:ascii="宋体" w:hAnsi="宋体"/>
                    </w:rPr>
                  </w:pPr>
                  <w:r>
                    <w:rPr>
                      <w:rFonts w:hint="eastAsia" w:ascii="宋体" w:hAnsi="宋体" w:cs="宋体"/>
                      <w:color w:val="000000"/>
                      <w:kern w:val="0"/>
                    </w:rPr>
                    <w:t>满意度=打分总分数÷调查数量；</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市场部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98%</w:t>
                  </w:r>
                </w:p>
              </w:tc>
            </w:tr>
          </w:tbl>
          <w:p>
            <w:pPr>
              <w:shd w:val="clear" w:color="auto" w:fill="C7DAF1" w:themeFill="text2" w:themeFillTint="32"/>
              <w:rPr>
                <w:rFonts w:hint="eastAsia"/>
              </w:rPr>
            </w:pPr>
            <w:r>
              <w:rPr>
                <w:rFonts w:hint="eastAsia"/>
              </w:rPr>
              <w:t>■目标已实现</w:t>
            </w:r>
          </w:p>
          <w:p>
            <w:pPr>
              <w:shd w:val="clear" w:color="auto" w:fill="C7DAF1" w:themeFill="text2"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组织对相关管理体系进行变更时，变更应按所策划的方式实施；审核周期内的重大变更有：</w:t>
            </w:r>
            <w:r>
              <w:rPr>
                <w:rFonts w:hint="eastAsia"/>
                <w:b/>
                <w:bCs/>
                <w:color w:val="FF0000"/>
                <w:lang w:eastAsia="zh-CN"/>
              </w:rPr>
              <w:t>无</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FF0000"/>
              </w:rPr>
            </w:pPr>
            <w:r>
              <w:rPr>
                <w:rFonts w:hint="eastAsia"/>
                <w:color w:val="FF0000"/>
              </w:rPr>
              <w:t>建筑面积</w:t>
            </w:r>
            <w:r>
              <w:rPr>
                <w:rFonts w:hint="eastAsia"/>
                <w:color w:val="FF0000"/>
                <w:u w:val="single"/>
              </w:rPr>
              <w:t xml:space="preserve">   </w:t>
            </w:r>
            <w:r>
              <w:rPr>
                <w:rFonts w:hint="eastAsia"/>
                <w:color w:val="FF0000"/>
                <w:u w:val="single"/>
                <w:lang w:val="en-US" w:eastAsia="zh-CN"/>
              </w:rPr>
              <w:t>3000</w:t>
            </w:r>
            <w:r>
              <w:rPr>
                <w:rFonts w:hint="eastAsia"/>
                <w:color w:val="FF0000"/>
                <w:u w:val="single"/>
              </w:rPr>
              <w:t xml:space="preserve">   </w:t>
            </w:r>
            <w:r>
              <w:rPr>
                <w:rFonts w:hint="eastAsia"/>
                <w:color w:val="FF0000"/>
              </w:rPr>
              <w:t>平方米；生产车间</w:t>
            </w:r>
            <w:r>
              <w:rPr>
                <w:rFonts w:hint="eastAsia"/>
                <w:color w:val="FF0000"/>
                <w:u w:val="single"/>
              </w:rPr>
              <w:t xml:space="preserve"> </w:t>
            </w:r>
            <w:r>
              <w:rPr>
                <w:rFonts w:hint="eastAsia"/>
                <w:color w:val="FF0000"/>
                <w:u w:val="single"/>
                <w:lang w:val="en-US" w:eastAsia="zh-CN"/>
              </w:rPr>
              <w:t>1</w:t>
            </w:r>
            <w:r>
              <w:rPr>
                <w:rFonts w:hint="eastAsia"/>
                <w:color w:val="FF0000"/>
                <w:u w:val="single"/>
              </w:rPr>
              <w:t xml:space="preserve">  </w:t>
            </w:r>
            <w:r>
              <w:rPr>
                <w:rFonts w:hint="eastAsia"/>
                <w:color w:val="FF0000"/>
              </w:rPr>
              <w:t>个；库房</w:t>
            </w:r>
            <w:r>
              <w:rPr>
                <w:rFonts w:hint="eastAsia"/>
                <w:color w:val="FF0000"/>
                <w:u w:val="single"/>
              </w:rPr>
              <w:t xml:space="preserve">  </w:t>
            </w:r>
            <w:r>
              <w:rPr>
                <w:rFonts w:hint="eastAsia"/>
                <w:color w:val="FF0000"/>
                <w:u w:val="single"/>
                <w:lang w:eastAsia="zh-CN"/>
              </w:rPr>
              <w:t>在车间按区域划分</w:t>
            </w:r>
            <w:r>
              <w:rPr>
                <w:rFonts w:hint="eastAsia"/>
                <w:color w:val="FF0000"/>
                <w:u w:val="single"/>
              </w:rPr>
              <w:t xml:space="preserve">  </w:t>
            </w:r>
            <w:r>
              <w:rPr>
                <w:rFonts w:hint="eastAsia"/>
                <w:color w:val="FF0000"/>
              </w:rPr>
              <w:t>；实验室</w:t>
            </w:r>
            <w:r>
              <w:rPr>
                <w:rFonts w:hint="eastAsia"/>
                <w:color w:val="FF0000"/>
                <w:u w:val="single"/>
              </w:rPr>
              <w:t xml:space="preserve">   </w:t>
            </w:r>
            <w:r>
              <w:rPr>
                <w:rFonts w:hint="eastAsia"/>
                <w:color w:val="FF0000"/>
              </w:rPr>
              <w:t>个；</w:t>
            </w:r>
          </w:p>
          <w:p>
            <w:pPr>
              <w:shd w:val="clear" w:color="auto" w:fill="C7DAF1" w:themeFill="text2" w:themeFillTint="32"/>
              <w:rPr>
                <w:rFonts w:hint="eastAsia" w:ascii="宋体" w:hAnsi="宋体" w:cs="宋体"/>
                <w:sz w:val="21"/>
                <w:szCs w:val="21"/>
                <w:lang w:eastAsia="zh-CN"/>
              </w:rPr>
            </w:pPr>
            <w:r>
              <w:rPr>
                <w:rFonts w:hint="eastAsia"/>
              </w:rPr>
              <w:t>主要生产设备有：</w:t>
            </w:r>
            <w:r>
              <w:rPr>
                <w:rFonts w:hint="eastAsia" w:ascii="宋体" w:hAnsi="宋体" w:cs="宋体"/>
                <w:sz w:val="21"/>
                <w:szCs w:val="21"/>
                <w:lang w:val="en-US" w:eastAsia="zh-CN"/>
              </w:rPr>
              <w:t>电脑及办公设备、</w:t>
            </w:r>
            <w:r>
              <w:rPr>
                <w:rFonts w:hint="eastAsia" w:ascii="宋体" w:hAnsi="宋体" w:cs="宋体"/>
                <w:sz w:val="21"/>
                <w:szCs w:val="21"/>
                <w:lang w:eastAsia="zh-CN"/>
              </w:rPr>
              <w:t>分纸机、印刷机、装钉机、打包机等</w:t>
            </w:r>
          </w:p>
          <w:p>
            <w:pPr>
              <w:shd w:val="clear" w:color="auto" w:fill="C7DAF1" w:themeFill="text2" w:themeFillTint="32"/>
            </w:pPr>
            <w:r>
              <w:rPr>
                <w:rFonts w:hint="eastAsia"/>
                <w:color w:val="000000" w:themeColor="text1"/>
                <w14:textFill>
                  <w14:solidFill>
                    <w14:schemeClr w14:val="tx1"/>
                  </w14:solidFill>
                </w14:textFill>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C7DAF1" w:themeFill="text2" w:themeFillTint="32"/>
              <w:rPr>
                <w:rFonts w:hint="eastAsia"/>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ascii="Wingdings" w:hAnsi="Wingdings"/>
              </w:rPr>
              <w:t></w:t>
            </w:r>
            <w:r>
              <w:rPr>
                <w:rFonts w:hint="eastAsia"/>
              </w:rPr>
              <w:t xml:space="preserve">服务流程检查表  </w:t>
            </w:r>
            <w:r>
              <w:rPr>
                <w:rFonts w:ascii="Wingdings" w:hAnsi="Wingdings"/>
              </w:rPr>
              <w:t></w:t>
            </w:r>
            <w:r>
              <w:rPr>
                <w:rFonts w:hint="eastAsia"/>
              </w:rPr>
              <w:t>其他</w:t>
            </w:r>
          </w:p>
          <w:p>
            <w:pPr>
              <w:shd w:val="clear" w:color="auto" w:fill="C7DAF1" w:themeFill="text2" w:themeFillTint="32"/>
              <w:rPr>
                <w:rFonts w:hint="eastAsia"/>
              </w:rPr>
            </w:pPr>
            <w:r>
              <w:rPr>
                <w:rFonts w:hint="eastAsia"/>
              </w:rPr>
              <w:t>计量器具的</w:t>
            </w:r>
            <w:r>
              <w:t>测量溯源</w:t>
            </w:r>
            <w:r>
              <w:rPr>
                <w:rFonts w:hint="eastAsia"/>
              </w:rPr>
              <w:t xml:space="preserve">方法：  </w:t>
            </w:r>
            <w:r>
              <w:rPr>
                <w:rFonts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ascii="宋体" w:hAnsi="宋体" w:cs="宋体"/>
                <w:szCs w:val="21"/>
                <w:lang w:eastAsia="zh-CN"/>
              </w:rPr>
              <w:t>电子秤</w:t>
            </w:r>
          </w:p>
          <w:p>
            <w:pPr>
              <w:shd w:val="clear" w:color="auto" w:fill="C7DAF1" w:themeFill="text2" w:themeFillTint="32"/>
              <w:rPr>
                <w:u w:val="single"/>
              </w:rPr>
            </w:pPr>
            <w:r>
              <w:rPr>
                <w:rFonts w:hint="eastAsia"/>
              </w:rPr>
              <w:t xml:space="preserve">计量器具管理： ■进行了定期校准/检定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w:t>
            </w:r>
            <w:r>
              <w:rPr>
                <w:rFonts w:ascii="Wingdings" w:hAnsi="Wingdings"/>
              </w:rPr>
              <w:t></w:t>
            </w:r>
            <w:r>
              <w:rPr>
                <w:rFonts w:hint="eastAsia"/>
              </w:rPr>
              <w:t xml:space="preserve">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 xml:space="preserve">检测计划   </w:t>
            </w:r>
            <w:r>
              <w:rPr>
                <w:rFonts w:ascii="Wingdings" w:hAnsi="Wingdings"/>
              </w:rPr>
              <w:t></w:t>
            </w:r>
            <w:r>
              <w:rPr>
                <w:rFonts w:hint="eastAsia"/>
              </w:rPr>
              <w:t xml:space="preserve">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eastAsia="zh-CN"/>
              </w:rPr>
              <w:t>不</w:t>
            </w:r>
            <w:r>
              <w:rPr>
                <w:rFonts w:hint="eastAsia"/>
              </w:rPr>
              <w:t>适用）</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ascii="Wingdings" w:hAnsi="Wingdings"/>
              </w:rPr>
              <w:t></w:t>
            </w:r>
            <w:r>
              <w:rPr>
                <w:rFonts w:hint="eastAsia"/>
              </w:rPr>
              <w:t>委托加工  ■顾客要求</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lang w:eastAsia="zh-CN"/>
                    </w:rPr>
                  </w:pPr>
                  <w:r>
                    <w:rPr>
                      <w:rFonts w:ascii="宋体" w:hAnsi="宋体" w:cs="宋体"/>
                      <w:color w:val="000000"/>
                      <w:kern w:val="0"/>
                      <w:szCs w:val="21"/>
                    </w:rPr>
                    <w:t>纸箱的生产</w:t>
                  </w:r>
                </w:p>
              </w:tc>
              <w:tc>
                <w:tcPr>
                  <w:tcW w:w="3665" w:type="dxa"/>
                </w:tcPr>
                <w:p>
                  <w:pPr>
                    <w:spacing w:line="360" w:lineRule="auto"/>
                    <w:rPr>
                      <w:rFonts w:hint="eastAsia" w:eastAsia="宋体"/>
                      <w:lang w:eastAsia="zh-CN"/>
                    </w:rPr>
                  </w:pPr>
                  <w:r>
                    <w:rPr>
                      <w:rFonts w:hint="eastAsia" w:ascii="宋体" w:hAnsi="宋体" w:eastAsia="宋体"/>
                      <w:lang w:val="en-US" w:eastAsia="zh-CN"/>
                    </w:rPr>
                    <w:t>成型（开槽、模切）</w:t>
                  </w:r>
                </w:p>
              </w:tc>
              <w:tc>
                <w:tcPr>
                  <w:tcW w:w="3265" w:type="dxa"/>
                </w:tcPr>
                <w:p>
                  <w:pPr>
                    <w:shd w:val="clear" w:color="auto" w:fill="C7DAF1" w:themeFill="text2" w:themeFillTint="32"/>
                    <w:jc w:val="left"/>
                    <w:rPr>
                      <w:rFonts w:hint="eastAsia" w:eastAsia="宋体"/>
                      <w:lang w:eastAsia="zh-CN"/>
                    </w:rPr>
                  </w:pPr>
                  <w:r>
                    <w:rPr>
                      <w:rFonts w:hint="eastAsia"/>
                    </w:rPr>
                    <w:t>尺寸、</w:t>
                  </w:r>
                  <w:r>
                    <w:rPr>
                      <w:rFonts w:hint="eastAsia"/>
                      <w:lang w:eastAsia="zh-CN"/>
                    </w:rPr>
                    <w:t>外观、耐破、切口、摇盖等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lang w:eastAsia="zh-CN"/>
                    </w:rPr>
                  </w:pPr>
                </w:p>
              </w:tc>
              <w:tc>
                <w:tcPr>
                  <w:tcW w:w="3665" w:type="dxa"/>
                </w:tcPr>
                <w:p>
                  <w:pPr>
                    <w:shd w:val="clear" w:color="auto" w:fill="C7DAF1" w:themeFill="text2" w:themeFillTint="32"/>
                    <w:jc w:val="left"/>
                    <w:rPr>
                      <w:rFonts w:hint="eastAsia" w:eastAsia="宋体"/>
                      <w:lang w:eastAsia="zh-CN"/>
                    </w:rPr>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ascii="Wingdings" w:hAnsi="Wingdings"/>
              </w:rPr>
              <w:sym w:font="Wingdings" w:char="00A8"/>
            </w:r>
            <w:r>
              <w:rPr>
                <w:rFonts w:hint="eastAsia"/>
              </w:rPr>
              <w:t xml:space="preserve">进行了有效的确认   </w:t>
            </w:r>
            <w:r>
              <w:rPr>
                <w:rFonts w:ascii="Wingdings" w:hAnsi="Wingdings"/>
              </w:rPr>
              <w:sym w:font="Wingdings" w:char="00A8"/>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r>
              <w:rPr>
                <w:rFonts w:hint="eastAsia"/>
              </w:rPr>
              <w:t xml:space="preserve">对生产和服务提供过程的控制■符合要求 </w:t>
            </w:r>
            <w:r>
              <w:rPr>
                <w:rFonts w:ascii="Wingdings" w:hAnsi="Wingdings"/>
              </w:rPr>
              <w:sym w:font="Wingdings" w:char="00A8"/>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检测设备■图纸 </w:t>
            </w:r>
            <w:r>
              <w:rPr>
                <w:rFonts w:ascii="Wingdings" w:hAnsi="Wingdings"/>
              </w:rPr>
              <w:t></w:t>
            </w:r>
            <w:r>
              <w:rPr>
                <w:rFonts w:hint="eastAsia"/>
              </w:rPr>
              <w:t>配方■个人信息■其他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目前交付后活动：■三包■维修■赔偿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组织已</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通过年度策划于</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2021</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5</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16</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日实施了质量管理体系内部审核，对质量管理体系的符合性和有效性进行了审核。内审发现的</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1</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ascii="Wingdings" w:hAnsi="Wingdings"/>
              </w:rPr>
              <w:t></w:t>
            </w:r>
            <w:r>
              <w:rPr>
                <w:rFonts w:hint="eastAsia"/>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color w:val="000000" w:themeColor="text1"/>
                <w14:textFill>
                  <w14:solidFill>
                    <w14:schemeClr w14:val="tx1"/>
                  </w14:solidFill>
                </w14:textFill>
              </w:rPr>
              <w:t>最高管理者已按策划的时间间隔，在</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2021</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5</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29</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w:t>
            </w:r>
            <w:r>
              <w:rPr>
                <w:rFonts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574"/>
        <w:gridCol w:w="540"/>
        <w:gridCol w:w="1020"/>
        <w:gridCol w:w="576"/>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574"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102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576"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3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74"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2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76"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3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74"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102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76"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3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574"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102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57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53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74"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2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3（8.5.2）</w:t>
            </w:r>
          </w:p>
        </w:tc>
        <w:tc>
          <w:tcPr>
            <w:tcW w:w="576"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3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574"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54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102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576"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539"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4"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4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02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3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4"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4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02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3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4"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4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02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3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bookmarkStart w:id="36" w:name="_GoBack"/>
      <w:bookmarkEnd w:id="36"/>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243F89"/>
    <w:rsid w:val="131B2A52"/>
    <w:rsid w:val="15256AEE"/>
    <w:rsid w:val="21670295"/>
    <w:rsid w:val="25093C81"/>
    <w:rsid w:val="255E5DF9"/>
    <w:rsid w:val="2AE158D3"/>
    <w:rsid w:val="30CC6A0E"/>
    <w:rsid w:val="37710736"/>
    <w:rsid w:val="3E992835"/>
    <w:rsid w:val="5A7457EB"/>
    <w:rsid w:val="5D2B3AE7"/>
    <w:rsid w:val="69210F11"/>
    <w:rsid w:val="6D80347C"/>
    <w:rsid w:val="70475B4A"/>
    <w:rsid w:val="71163313"/>
    <w:rsid w:val="7AA054C4"/>
    <w:rsid w:val="7B657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3</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2021-08-17T06:25:10Z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