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3"/>
        <w:gridCol w:w="1187"/>
        <w:gridCol w:w="977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3" w:type="dxa"/>
            <w:vMerge w:val="restart"/>
            <w:vAlign w:val="center"/>
          </w:tcPr>
          <w:p>
            <w:pPr>
              <w:keepNext w:val="0"/>
              <w:keepLines w:val="0"/>
              <w:pageBreakBefore w:val="0"/>
              <w:widowControl w:val="0"/>
              <w:kinsoku/>
              <w:wordWrap/>
              <w:overflowPunct/>
              <w:topLinePunct w:val="0"/>
              <w:autoSpaceDE/>
              <w:autoSpaceDN/>
              <w:bidi w:val="0"/>
              <w:spacing w:after="0" w:line="360" w:lineRule="auto"/>
              <w:jc w:val="center"/>
              <w:rPr>
                <w:sz w:val="24"/>
                <w:szCs w:val="24"/>
              </w:rPr>
            </w:pPr>
            <w:r>
              <w:rPr>
                <w:rFonts w:hint="eastAsia"/>
                <w:sz w:val="24"/>
                <w:szCs w:val="24"/>
              </w:rPr>
              <w:t>过程与活动、</w:t>
            </w:r>
          </w:p>
          <w:p>
            <w:pPr>
              <w:keepNext w:val="0"/>
              <w:keepLines w:val="0"/>
              <w:pageBreakBefore w:val="0"/>
              <w:widowControl w:val="0"/>
              <w:kinsoku/>
              <w:wordWrap/>
              <w:overflowPunct/>
              <w:topLinePunct w:val="0"/>
              <w:autoSpaceDE/>
              <w:autoSpaceDN/>
              <w:bidi w:val="0"/>
              <w:spacing w:after="0" w:line="360" w:lineRule="auto"/>
              <w:jc w:val="center"/>
            </w:pPr>
            <w:r>
              <w:rPr>
                <w:rFonts w:hint="eastAsia"/>
                <w:sz w:val="24"/>
                <w:szCs w:val="24"/>
              </w:rPr>
              <w:t>抽样计划</w:t>
            </w:r>
          </w:p>
        </w:tc>
        <w:tc>
          <w:tcPr>
            <w:tcW w:w="1187" w:type="dxa"/>
            <w:vMerge w:val="restart"/>
            <w:vAlign w:val="center"/>
          </w:tcPr>
          <w:p>
            <w:pPr>
              <w:keepNext w:val="0"/>
              <w:keepLines w:val="0"/>
              <w:pageBreakBefore w:val="0"/>
              <w:widowControl w:val="0"/>
              <w:kinsoku/>
              <w:wordWrap/>
              <w:overflowPunct/>
              <w:topLinePunct w:val="0"/>
              <w:autoSpaceDE/>
              <w:autoSpaceDN/>
              <w:bidi w:val="0"/>
              <w:spacing w:after="0" w:line="360" w:lineRule="auto"/>
              <w:rPr>
                <w:sz w:val="24"/>
                <w:szCs w:val="24"/>
              </w:rPr>
            </w:pPr>
            <w:r>
              <w:rPr>
                <w:rFonts w:hint="eastAsia"/>
                <w:sz w:val="24"/>
                <w:szCs w:val="24"/>
              </w:rPr>
              <w:t>涉及</w:t>
            </w:r>
          </w:p>
          <w:p>
            <w:pPr>
              <w:keepNext w:val="0"/>
              <w:keepLines w:val="0"/>
              <w:pageBreakBefore w:val="0"/>
              <w:widowControl w:val="0"/>
              <w:kinsoku/>
              <w:wordWrap/>
              <w:overflowPunct/>
              <w:topLinePunct w:val="0"/>
              <w:autoSpaceDE/>
              <w:autoSpaceDN/>
              <w:bidi w:val="0"/>
              <w:spacing w:after="0" w:line="360" w:lineRule="auto"/>
            </w:pPr>
            <w:r>
              <w:rPr>
                <w:rFonts w:hint="eastAsia"/>
                <w:sz w:val="24"/>
                <w:szCs w:val="24"/>
              </w:rPr>
              <w:t>条款</w:t>
            </w:r>
          </w:p>
        </w:tc>
        <w:tc>
          <w:tcPr>
            <w:tcW w:w="9774" w:type="dxa"/>
            <w:vAlign w:val="center"/>
          </w:tcPr>
          <w:p>
            <w:pPr>
              <w:keepNext w:val="0"/>
              <w:keepLines w:val="0"/>
              <w:pageBreakBefore w:val="0"/>
              <w:widowControl w:val="0"/>
              <w:kinsoku/>
              <w:wordWrap/>
              <w:overflowPunct/>
              <w:topLinePunct w:val="0"/>
              <w:autoSpaceDE/>
              <w:autoSpaceDN/>
              <w:bidi w:val="0"/>
              <w:spacing w:after="0" w:line="360" w:lineRule="auto"/>
              <w:rPr>
                <w:rFonts w:hint="default" w:eastAsia="宋体"/>
                <w:sz w:val="24"/>
                <w:szCs w:val="24"/>
                <w:lang w:val="en-US" w:eastAsia="zh-CN"/>
              </w:rPr>
            </w:pPr>
            <w:r>
              <w:rPr>
                <w:rFonts w:hint="eastAsia"/>
                <w:sz w:val="24"/>
                <w:szCs w:val="24"/>
              </w:rPr>
              <w:t>受审核部门</w:t>
            </w:r>
            <w:r>
              <w:rPr>
                <w:rFonts w:hint="eastAsia" w:ascii="Times New Roman" w:hAnsi="Times New Roman" w:eastAsia="宋体" w:cs="Times New Roman"/>
                <w:sz w:val="24"/>
                <w:szCs w:val="24"/>
              </w:rPr>
              <w:t>：</w:t>
            </w:r>
            <w:r>
              <w:rPr>
                <w:rFonts w:hint="eastAsia" w:ascii="Times New Roman" w:hAnsi="Times New Roman" w:eastAsia="宋体" w:cs="Times New Roman"/>
                <w:sz w:val="24"/>
                <w:szCs w:val="24"/>
                <w:lang w:val="en-US" w:eastAsia="zh-CN"/>
              </w:rPr>
              <w:t>行政部</w:t>
            </w:r>
            <w:r>
              <w:rPr>
                <w:rFonts w:hint="eastAsia" w:ascii="Times New Roman" w:hAnsi="Times New Roman" w:eastAsia="宋体" w:cs="Times New Roman"/>
                <w:sz w:val="24"/>
                <w:szCs w:val="24"/>
              </w:rPr>
              <w:t xml:space="preserve">        </w:t>
            </w:r>
            <w:r>
              <w:rPr>
                <w:sz w:val="24"/>
                <w:szCs w:val="24"/>
              </w:rPr>
              <w:t xml:space="preserve"> </w:t>
            </w:r>
            <w:r>
              <w:rPr>
                <w:rFonts w:hint="eastAsia"/>
                <w:sz w:val="24"/>
                <w:szCs w:val="24"/>
              </w:rPr>
              <w:t>主管领导：</w:t>
            </w:r>
            <w:bookmarkStart w:id="0" w:name="管理者代表"/>
            <w:r>
              <w:rPr>
                <w:rFonts w:hint="eastAsia"/>
                <w:sz w:val="24"/>
                <w:szCs w:val="24"/>
              </w:rPr>
              <w:t>张姝</w:t>
            </w:r>
            <w:bookmarkEnd w:id="0"/>
            <w:r>
              <w:rPr>
                <w:rFonts w:hint="eastAsia"/>
                <w:sz w:val="24"/>
                <w:szCs w:val="24"/>
              </w:rPr>
              <w:t xml:space="preserve"> </w:t>
            </w:r>
            <w:r>
              <w:rPr>
                <w:sz w:val="24"/>
                <w:szCs w:val="24"/>
              </w:rPr>
              <w:t xml:space="preserve">          </w:t>
            </w:r>
            <w:r>
              <w:rPr>
                <w:rFonts w:hint="eastAsia"/>
                <w:sz w:val="24"/>
                <w:szCs w:val="24"/>
              </w:rPr>
              <w:t>陪同人员：</w:t>
            </w:r>
            <w:r>
              <w:rPr>
                <w:rFonts w:hint="eastAsia"/>
                <w:sz w:val="24"/>
                <w:szCs w:val="24"/>
                <w:lang w:val="en-US" w:eastAsia="zh-CN"/>
              </w:rPr>
              <w:t>万白</w:t>
            </w:r>
          </w:p>
        </w:tc>
        <w:tc>
          <w:tcPr>
            <w:tcW w:w="1585" w:type="dxa"/>
            <w:vMerge w:val="restart"/>
            <w:vAlign w:val="center"/>
          </w:tcPr>
          <w:p>
            <w:pPr>
              <w:keepNext w:val="0"/>
              <w:keepLines w:val="0"/>
              <w:pageBreakBefore w:val="0"/>
              <w:widowControl w:val="0"/>
              <w:kinsoku/>
              <w:wordWrap/>
              <w:overflowPunct/>
              <w:topLinePunct w:val="0"/>
              <w:autoSpaceDE/>
              <w:autoSpaceDN/>
              <w:bidi w:val="0"/>
              <w:spacing w:after="0" w:line="360" w:lineRule="auto"/>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3" w:type="dxa"/>
            <w:vMerge w:val="continue"/>
            <w:vAlign w:val="center"/>
          </w:tcPr>
          <w:p>
            <w:pPr>
              <w:keepNext w:val="0"/>
              <w:keepLines w:val="0"/>
              <w:pageBreakBefore w:val="0"/>
              <w:widowControl w:val="0"/>
              <w:kinsoku/>
              <w:wordWrap/>
              <w:overflowPunct/>
              <w:topLinePunct w:val="0"/>
              <w:autoSpaceDE/>
              <w:autoSpaceDN/>
              <w:bidi w:val="0"/>
              <w:spacing w:after="0" w:line="360" w:lineRule="auto"/>
            </w:pPr>
          </w:p>
        </w:tc>
        <w:tc>
          <w:tcPr>
            <w:tcW w:w="1187" w:type="dxa"/>
            <w:vMerge w:val="continue"/>
            <w:vAlign w:val="center"/>
          </w:tcPr>
          <w:p>
            <w:pPr>
              <w:keepNext w:val="0"/>
              <w:keepLines w:val="0"/>
              <w:pageBreakBefore w:val="0"/>
              <w:widowControl w:val="0"/>
              <w:kinsoku/>
              <w:wordWrap/>
              <w:overflowPunct/>
              <w:topLinePunct w:val="0"/>
              <w:autoSpaceDE/>
              <w:autoSpaceDN/>
              <w:bidi w:val="0"/>
              <w:spacing w:after="0" w:line="360" w:lineRule="auto"/>
            </w:pPr>
          </w:p>
        </w:tc>
        <w:tc>
          <w:tcPr>
            <w:tcW w:w="9774" w:type="dxa"/>
            <w:vAlign w:val="center"/>
          </w:tcPr>
          <w:p>
            <w:pPr>
              <w:keepNext w:val="0"/>
              <w:keepLines w:val="0"/>
              <w:pageBreakBefore w:val="0"/>
              <w:widowControl w:val="0"/>
              <w:kinsoku/>
              <w:wordWrap/>
              <w:overflowPunct/>
              <w:topLinePunct w:val="0"/>
              <w:autoSpaceDE/>
              <w:autoSpaceDN/>
              <w:bidi w:val="0"/>
              <w:spacing w:after="0" w:line="360" w:lineRule="auto"/>
              <w:rPr>
                <w:rFonts w:hint="default" w:eastAsia="宋体"/>
                <w:lang w:val="en-US" w:eastAsia="zh-CN"/>
              </w:rPr>
            </w:pPr>
            <w:r>
              <w:rPr>
                <w:rFonts w:hint="eastAsia"/>
                <w:sz w:val="24"/>
                <w:szCs w:val="24"/>
              </w:rPr>
              <w:t>审核员：</w:t>
            </w:r>
            <w:bookmarkStart w:id="1" w:name="审核组成员不含组长"/>
            <w:r>
              <w:rPr>
                <w:rFonts w:hint="eastAsia"/>
                <w:sz w:val="24"/>
                <w:szCs w:val="24"/>
              </w:rPr>
              <w:t>褚敏杰</w:t>
            </w:r>
            <w:bookmarkEnd w:id="1"/>
            <w:r>
              <w:rPr>
                <w:rFonts w:hint="eastAsia"/>
                <w:sz w:val="24"/>
                <w:szCs w:val="24"/>
              </w:rPr>
              <w:t xml:space="preserve"> </w:t>
            </w:r>
            <w:r>
              <w:rPr>
                <w:sz w:val="24"/>
                <w:szCs w:val="24"/>
              </w:rPr>
              <w:t xml:space="preserve">            </w:t>
            </w:r>
            <w:r>
              <w:rPr>
                <w:rFonts w:hint="eastAsia"/>
                <w:sz w:val="24"/>
                <w:szCs w:val="24"/>
              </w:rPr>
              <w:t>审核时间：</w:t>
            </w:r>
            <w:r>
              <w:rPr>
                <w:rFonts w:hint="eastAsia"/>
                <w:sz w:val="24"/>
                <w:szCs w:val="24"/>
                <w:lang w:val="en-US" w:eastAsia="zh-CN"/>
              </w:rPr>
              <w:t>2021.8.15-16</w:t>
            </w:r>
          </w:p>
        </w:tc>
        <w:tc>
          <w:tcPr>
            <w:tcW w:w="1585" w:type="dxa"/>
            <w:vMerge w:val="continue"/>
          </w:tcPr>
          <w:p>
            <w:pPr>
              <w:keepNext w:val="0"/>
              <w:keepLines w:val="0"/>
              <w:pageBreakBefore w:val="0"/>
              <w:widowControl w:val="0"/>
              <w:kinsoku/>
              <w:wordWrap/>
              <w:overflowPunct/>
              <w:topLinePunct w:val="0"/>
              <w:autoSpaceDE/>
              <w:autoSpaceDN/>
              <w:bidi w:val="0"/>
              <w:spacing w:after="0"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3" w:type="dxa"/>
            <w:vMerge w:val="continue"/>
            <w:vAlign w:val="center"/>
          </w:tcPr>
          <w:p>
            <w:pPr>
              <w:keepNext w:val="0"/>
              <w:keepLines w:val="0"/>
              <w:pageBreakBefore w:val="0"/>
              <w:widowControl w:val="0"/>
              <w:kinsoku/>
              <w:wordWrap/>
              <w:overflowPunct/>
              <w:topLinePunct w:val="0"/>
              <w:autoSpaceDE/>
              <w:autoSpaceDN/>
              <w:bidi w:val="0"/>
              <w:spacing w:after="0" w:line="360" w:lineRule="auto"/>
            </w:pPr>
          </w:p>
        </w:tc>
        <w:tc>
          <w:tcPr>
            <w:tcW w:w="1187" w:type="dxa"/>
            <w:vMerge w:val="continue"/>
            <w:vAlign w:val="center"/>
          </w:tcPr>
          <w:p>
            <w:pPr>
              <w:keepNext w:val="0"/>
              <w:keepLines w:val="0"/>
              <w:pageBreakBefore w:val="0"/>
              <w:widowControl w:val="0"/>
              <w:kinsoku/>
              <w:wordWrap/>
              <w:overflowPunct/>
              <w:topLinePunct w:val="0"/>
              <w:autoSpaceDE/>
              <w:autoSpaceDN/>
              <w:bidi w:val="0"/>
              <w:spacing w:after="0" w:line="360" w:lineRule="auto"/>
            </w:pPr>
          </w:p>
        </w:tc>
        <w:tc>
          <w:tcPr>
            <w:tcW w:w="9774" w:type="dxa"/>
            <w:vAlign w:val="center"/>
          </w:tcPr>
          <w:p>
            <w:pPr>
              <w:keepNext w:val="0"/>
              <w:keepLines w:val="0"/>
              <w:pageBreakBefore w:val="0"/>
              <w:widowControl w:val="0"/>
              <w:kinsoku/>
              <w:wordWrap/>
              <w:overflowPunct/>
              <w:topLinePunct w:val="0"/>
              <w:autoSpaceDE/>
              <w:autoSpaceDN/>
              <w:bidi w:val="0"/>
              <w:spacing w:after="0" w:line="360" w:lineRule="auto"/>
              <w:rPr>
                <w:rFonts w:hint="eastAsia"/>
                <w:sz w:val="24"/>
                <w:szCs w:val="24"/>
              </w:rPr>
            </w:pPr>
            <w:r>
              <w:rPr>
                <w:rFonts w:hint="eastAsia"/>
                <w:sz w:val="24"/>
                <w:szCs w:val="24"/>
              </w:rPr>
              <w:t>审核条款：</w:t>
            </w:r>
          </w:p>
          <w:p>
            <w:pPr>
              <w:keepNext w:val="0"/>
              <w:keepLines w:val="0"/>
              <w:pageBreakBefore w:val="0"/>
              <w:widowControl w:val="0"/>
              <w:kinsoku/>
              <w:wordWrap/>
              <w:overflowPunct/>
              <w:topLinePunct w:val="0"/>
              <w:autoSpaceDE/>
              <w:autoSpaceDN/>
              <w:bidi w:val="0"/>
              <w:adjustRightInd w:val="0"/>
              <w:snapToGrid w:val="0"/>
              <w:spacing w:after="0" w:line="360" w:lineRule="auto"/>
              <w:ind w:right="105" w:rightChars="50"/>
              <w:textAlignment w:val="baseline"/>
              <w:rPr>
                <w:rFonts w:hint="eastAsia" w:ascii="宋体" w:hAnsi="宋体" w:cs="Arial"/>
                <w:sz w:val="18"/>
                <w:szCs w:val="18"/>
                <w:lang w:val="en-US" w:eastAsia="zh-CN"/>
              </w:rPr>
            </w:pPr>
            <w:r>
              <w:rPr>
                <w:rFonts w:hint="eastAsia" w:ascii="宋体" w:hAnsi="宋体" w:cs="Arial"/>
                <w:sz w:val="18"/>
                <w:szCs w:val="18"/>
                <w:lang w:val="en-US" w:eastAsia="zh-CN"/>
              </w:rPr>
              <w:t>QMS: 5.3组织的岗位、职责和权限、6.2质量目标、7.1.2人员、7.1.6组织知识、7.2能力、7.3意识、7.4沟通/信息交流、7.5.1形成文件的信息总则、7.5.2形成文件的信息的创建和更新、7.5.3形成文件的信息的控制、8.1运行策划和控制、9.1.1监视、测量、分析和评价总则、9.1.3分析与评价、9.2 内部审核、10.2不合格和纠正措施</w:t>
            </w:r>
          </w:p>
          <w:p>
            <w:pPr>
              <w:keepNext w:val="0"/>
              <w:keepLines w:val="0"/>
              <w:pageBreakBefore w:val="0"/>
              <w:widowControl w:val="0"/>
              <w:kinsoku/>
              <w:wordWrap/>
              <w:overflowPunct/>
              <w:topLinePunct w:val="0"/>
              <w:autoSpaceDE/>
              <w:autoSpaceDN/>
              <w:bidi w:val="0"/>
              <w:adjustRightInd w:val="0"/>
              <w:snapToGrid w:val="0"/>
              <w:spacing w:after="0" w:line="360" w:lineRule="auto"/>
              <w:ind w:right="105" w:rightChars="50"/>
              <w:textAlignment w:val="baseline"/>
              <w:rPr>
                <w:rFonts w:hint="eastAsia"/>
                <w:sz w:val="24"/>
                <w:szCs w:val="24"/>
              </w:rPr>
            </w:pPr>
            <w:r>
              <w:rPr>
                <w:rFonts w:hint="eastAsia" w:ascii="宋体" w:hAnsi="宋体" w:cs="Arial"/>
                <w:sz w:val="18"/>
                <w:szCs w:val="18"/>
                <w:lang w:val="en-US" w:eastAsia="zh-CN"/>
              </w:rPr>
              <w:t>E/OMS: 5.3组织的岗位、职责和权限、6.1.2环境因素/危险源的辨识与评价、6.1.3合规义务、6.1.4措施的策划、6.2.1环境/职业健康安全目标、6.2.2实现环境/职业健康安全目标措施的策划、7.2能力、7.3意识、7.5.1形成文件的信息总则、7.5.2形成文件的信息的创建和更新、7.5.3形成文件的信息的控制、8.1运行策划和控制、8.2应急准备和响应、9.1监视、测量、分析和评价（9.1.1总则、9.1.2合规性评价）、9.2内部审核</w:t>
            </w:r>
          </w:p>
        </w:tc>
        <w:tc>
          <w:tcPr>
            <w:tcW w:w="1585" w:type="dxa"/>
            <w:vMerge w:val="continue"/>
          </w:tcPr>
          <w:p>
            <w:pPr>
              <w:keepNext w:val="0"/>
              <w:keepLines w:val="0"/>
              <w:pageBreakBefore w:val="0"/>
              <w:widowControl w:val="0"/>
              <w:kinsoku/>
              <w:wordWrap/>
              <w:overflowPunct/>
              <w:topLinePunct w:val="0"/>
              <w:autoSpaceDE/>
              <w:autoSpaceDN/>
              <w:bidi w:val="0"/>
              <w:spacing w:after="0"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3" w:type="dxa"/>
            <w:vAlign w:val="top"/>
          </w:tcPr>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default" w:ascii="Times New Roman" w:hAnsi="Times New Roman" w:eastAsia="宋体" w:cs="Times New Roman"/>
                <w:color w:val="auto"/>
                <w:kern w:val="2"/>
                <w:sz w:val="21"/>
                <w:lang w:val="en-US" w:eastAsia="zh-CN" w:bidi="ar-SA"/>
              </w:rPr>
            </w:pPr>
            <w:r>
              <w:rPr>
                <w:rFonts w:hint="default" w:ascii="Times New Roman" w:hAnsi="Times New Roman" w:cs="Times New Roman"/>
                <w:color w:val="auto"/>
              </w:rPr>
              <w:t>岗位、职责和权限</w:t>
            </w:r>
          </w:p>
        </w:tc>
        <w:tc>
          <w:tcPr>
            <w:tcW w:w="1187" w:type="dxa"/>
            <w:vAlign w:val="top"/>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Times New Roman" w:hAnsi="Times New Roman" w:eastAsia="宋体" w:cs="Times New Roman"/>
                <w:color w:val="auto"/>
                <w:kern w:val="2"/>
                <w:sz w:val="21"/>
                <w:lang w:val="en-US" w:eastAsia="zh-CN" w:bidi="ar-SA"/>
              </w:rPr>
            </w:pPr>
            <w:r>
              <w:rPr>
                <w:rFonts w:hint="default" w:asciiTheme="minorEastAsia" w:hAnsiTheme="minorEastAsia" w:eastAsiaTheme="minorEastAsia" w:cstheme="minorEastAsia"/>
                <w:color w:val="auto"/>
                <w:spacing w:val="-6"/>
                <w:kern w:val="2"/>
                <w:sz w:val="21"/>
                <w:szCs w:val="21"/>
                <w:lang w:val="en-US" w:eastAsia="zh-CN" w:bidi="ar-SA"/>
              </w:rPr>
              <w:t>Q</w:t>
            </w:r>
            <w:r>
              <w:rPr>
                <w:rFonts w:hint="eastAsia" w:asciiTheme="minorEastAsia" w:hAnsiTheme="minorEastAsia" w:eastAsiaTheme="minorEastAsia" w:cstheme="minorEastAsia"/>
                <w:color w:val="auto"/>
                <w:spacing w:val="-6"/>
                <w:kern w:val="2"/>
                <w:sz w:val="21"/>
                <w:szCs w:val="21"/>
                <w:lang w:val="en-US" w:eastAsia="zh-CN" w:bidi="ar-SA"/>
              </w:rPr>
              <w:t>E</w:t>
            </w:r>
            <w:r>
              <w:rPr>
                <w:rFonts w:hint="default" w:asciiTheme="minorEastAsia" w:hAnsiTheme="minorEastAsia" w:eastAsiaTheme="minorEastAsia" w:cstheme="minorEastAsia"/>
                <w:color w:val="auto"/>
                <w:spacing w:val="-6"/>
                <w:kern w:val="2"/>
                <w:sz w:val="21"/>
                <w:szCs w:val="21"/>
                <w:lang w:val="en-US" w:eastAsia="zh-CN" w:bidi="ar-SA"/>
              </w:rPr>
              <w:t>O:5.3</w:t>
            </w:r>
          </w:p>
        </w:tc>
        <w:tc>
          <w:tcPr>
            <w:tcW w:w="9774" w:type="dxa"/>
            <w:vAlign w:val="top"/>
          </w:tcPr>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default" w:ascii="Times New Roman" w:hAnsi="Times New Roman" w:cs="Times New Roman"/>
                <w:i w:val="0"/>
                <w:iCs w:val="0"/>
                <w:color w:val="auto"/>
                <w:highlight w:val="none"/>
                <w:lang w:val="en-US" w:eastAsia="zh-CN"/>
              </w:rPr>
            </w:pPr>
            <w:r>
              <w:rPr>
                <w:rFonts w:hint="eastAsia" w:cs="Times New Roman"/>
                <w:i w:val="0"/>
                <w:iCs w:val="0"/>
                <w:color w:val="auto"/>
                <w:highlight w:val="none"/>
                <w:lang w:val="en-US" w:eastAsia="zh-CN"/>
              </w:rPr>
              <w:t>行政部</w:t>
            </w:r>
            <w:r>
              <w:rPr>
                <w:rFonts w:hint="default" w:ascii="Times New Roman" w:hAnsi="Times New Roman" w:cs="Times New Roman"/>
                <w:i w:val="0"/>
                <w:iCs w:val="0"/>
                <w:color w:val="auto"/>
                <w:highlight w:val="none"/>
                <w:lang w:val="en-US" w:eastAsia="zh-CN"/>
              </w:rPr>
              <w:t>现有</w:t>
            </w:r>
            <w:r>
              <w:rPr>
                <w:rFonts w:hint="eastAsia" w:cs="Times New Roman"/>
                <w:i w:val="0"/>
                <w:iCs w:val="0"/>
                <w:color w:val="auto"/>
                <w:highlight w:val="none"/>
                <w:lang w:val="en-US" w:eastAsia="zh-CN"/>
              </w:rPr>
              <w:t>1</w:t>
            </w:r>
            <w:r>
              <w:rPr>
                <w:rFonts w:hint="default" w:ascii="Times New Roman" w:hAnsi="Times New Roman" w:cs="Times New Roman"/>
                <w:i w:val="0"/>
                <w:iCs w:val="0"/>
                <w:color w:val="auto"/>
                <w:highlight w:val="none"/>
                <w:lang w:val="en-US" w:eastAsia="zh-CN"/>
              </w:rPr>
              <w:t>人</w:t>
            </w:r>
            <w:r>
              <w:rPr>
                <w:rFonts w:hint="eastAsia" w:cs="Times New Roman"/>
                <w:i w:val="0"/>
                <w:iCs w:val="0"/>
                <w:color w:val="auto"/>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主要负责行政管理和人力资源管理；</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default" w:ascii="Times New Roman" w:hAnsi="Times New Roman" w:cs="Times New Roman"/>
                <w:color w:val="auto"/>
                <w:lang w:val="en-US" w:eastAsia="zh-CN"/>
              </w:rPr>
            </w:pPr>
            <w:r>
              <w:rPr>
                <w:rFonts w:hint="eastAsia" w:cs="Times New Roman"/>
                <w:color w:val="auto"/>
                <w:lang w:val="en-US" w:eastAsia="zh-CN"/>
              </w:rPr>
              <w:t>本部门的环境因素/</w:t>
            </w:r>
            <w:r>
              <w:rPr>
                <w:rFonts w:hint="default" w:ascii="Times New Roman" w:hAnsi="Times New Roman" w:cs="Times New Roman"/>
                <w:color w:val="auto"/>
                <w:lang w:val="en-US" w:eastAsia="zh-CN"/>
              </w:rPr>
              <w:t>危险源的识别、评价及控制以及应急管理；</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Times New Roman" w:hAnsi="Times New Roman" w:eastAsia="宋体" w:cs="Times New Roman"/>
                <w:color w:val="FF0000"/>
                <w:kern w:val="2"/>
                <w:sz w:val="21"/>
                <w:lang w:val="en-US" w:eastAsia="zh-CN" w:bidi="ar-SA"/>
              </w:rPr>
            </w:pPr>
            <w:r>
              <w:rPr>
                <w:rFonts w:hint="default" w:ascii="Times New Roman" w:hAnsi="Times New Roman" w:cs="Times New Roman"/>
                <w:color w:val="auto"/>
                <w:lang w:val="en-US" w:eastAsia="zh-CN"/>
              </w:rPr>
              <w:t>协助做好管理评审工作、组织开展内部审核。</w:t>
            </w:r>
          </w:p>
        </w:tc>
        <w:tc>
          <w:tcPr>
            <w:tcW w:w="1585" w:type="dxa"/>
          </w:tcPr>
          <w:p>
            <w:pPr>
              <w:keepNext w:val="0"/>
              <w:keepLines w:val="0"/>
              <w:pageBreakBefore w:val="0"/>
              <w:widowControl w:val="0"/>
              <w:kinsoku/>
              <w:wordWrap/>
              <w:overflowPunct/>
              <w:topLinePunct w:val="0"/>
              <w:autoSpaceDE/>
              <w:autoSpaceDN/>
              <w:bidi w:val="0"/>
              <w:spacing w:after="0" w:line="360" w:lineRule="auto"/>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3" w:type="dxa"/>
            <w:vAlign w:val="top"/>
          </w:tcPr>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default"/>
                <w:lang w:val="en-US" w:eastAsia="zh-CN"/>
              </w:rPr>
            </w:pPr>
            <w:r>
              <w:rPr>
                <w:rFonts w:hint="default"/>
                <w:lang w:val="en-US" w:eastAsia="zh-CN"/>
              </w:rPr>
              <w:t>目标</w:t>
            </w:r>
          </w:p>
          <w:p>
            <w:pPr>
              <w:pStyle w:val="2"/>
              <w:keepNext w:val="0"/>
              <w:keepLines w:val="0"/>
              <w:pageBreakBefore w:val="0"/>
              <w:widowControl w:val="0"/>
              <w:kinsoku/>
              <w:wordWrap/>
              <w:overflowPunct/>
              <w:topLinePunct w:val="0"/>
              <w:autoSpaceDE/>
              <w:autoSpaceDN/>
              <w:bidi w:val="0"/>
              <w:spacing w:after="0" w:afterLines="0" w:line="360" w:lineRule="auto"/>
              <w:ind w:left="0" w:leftChars="0" w:firstLine="0" w:firstLineChars="0"/>
              <w:rPr>
                <w:rFonts w:hint="default" w:ascii="Times New Roman" w:hAnsi="Times New Roman" w:eastAsia="宋体" w:cs="Times New Roman"/>
                <w:kern w:val="2"/>
                <w:sz w:val="21"/>
                <w:lang w:val="en-US" w:eastAsia="zh-CN" w:bidi="ar-SA"/>
              </w:rPr>
            </w:pPr>
            <w:r>
              <w:rPr>
                <w:rFonts w:hint="eastAsia" w:cs="Times New Roman"/>
                <w:color w:val="auto"/>
                <w:lang w:val="en-US" w:eastAsia="zh-CN"/>
              </w:rPr>
              <w:t>措施</w:t>
            </w:r>
          </w:p>
        </w:tc>
        <w:tc>
          <w:tcPr>
            <w:tcW w:w="1187" w:type="dxa"/>
            <w:vAlign w:val="top"/>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Times New Roman" w:hAnsi="Times New Roman" w:eastAsia="宋体" w:cs="Times New Roman"/>
                <w:color w:val="auto"/>
                <w:kern w:val="2"/>
                <w:sz w:val="21"/>
                <w:lang w:val="en-US" w:eastAsia="zh-CN" w:bidi="ar-SA"/>
              </w:rPr>
            </w:pPr>
            <w:r>
              <w:rPr>
                <w:rFonts w:hint="default" w:asciiTheme="minorEastAsia" w:hAnsiTheme="minorEastAsia" w:eastAsiaTheme="minorEastAsia" w:cstheme="minorEastAsia"/>
                <w:color w:val="auto"/>
                <w:spacing w:val="-6"/>
                <w:kern w:val="2"/>
                <w:sz w:val="21"/>
                <w:szCs w:val="21"/>
                <w:lang w:val="en-US" w:eastAsia="zh-CN" w:bidi="ar-SA"/>
              </w:rPr>
              <w:t>Q</w:t>
            </w:r>
            <w:r>
              <w:rPr>
                <w:rFonts w:hint="eastAsia" w:asciiTheme="minorEastAsia" w:hAnsiTheme="minorEastAsia" w:eastAsiaTheme="minorEastAsia" w:cstheme="minorEastAsia"/>
                <w:color w:val="auto"/>
                <w:spacing w:val="-6"/>
                <w:kern w:val="2"/>
                <w:sz w:val="21"/>
                <w:szCs w:val="21"/>
                <w:lang w:val="en-US" w:eastAsia="zh-CN" w:bidi="ar-SA"/>
              </w:rPr>
              <w:t>E</w:t>
            </w:r>
            <w:r>
              <w:rPr>
                <w:rFonts w:hint="default" w:asciiTheme="minorEastAsia" w:hAnsiTheme="minorEastAsia" w:eastAsiaTheme="minorEastAsia" w:cstheme="minorEastAsia"/>
                <w:color w:val="auto"/>
                <w:spacing w:val="-6"/>
                <w:kern w:val="2"/>
                <w:sz w:val="21"/>
                <w:szCs w:val="21"/>
                <w:lang w:val="en-US" w:eastAsia="zh-CN" w:bidi="ar-SA"/>
              </w:rPr>
              <w:t>O:6.2</w:t>
            </w:r>
          </w:p>
        </w:tc>
        <w:tc>
          <w:tcPr>
            <w:tcW w:w="9774" w:type="dxa"/>
            <w:vAlign w:val="top"/>
          </w:tcPr>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default" w:ascii="Times New Roman" w:hAnsi="Times New Roman" w:cs="Times New Roman"/>
                <w:i w:val="0"/>
                <w:iCs w:val="0"/>
                <w:color w:val="auto"/>
                <w:szCs w:val="22"/>
                <w:highlight w:val="none"/>
                <w:lang w:val="en-US" w:eastAsia="zh-CN"/>
              </w:rPr>
            </w:pPr>
            <w:r>
              <w:rPr>
                <w:rFonts w:hint="default" w:ascii="Times New Roman" w:hAnsi="Times New Roman" w:cs="Times New Roman"/>
                <w:i w:val="0"/>
                <w:iCs w:val="0"/>
                <w:color w:val="auto"/>
                <w:szCs w:val="22"/>
                <w:highlight w:val="none"/>
                <w:lang w:val="en-US" w:eastAsia="zh-CN"/>
              </w:rPr>
              <w:t>查见“目标考核表”，</w:t>
            </w:r>
            <w:r>
              <w:rPr>
                <w:rFonts w:hint="eastAsia" w:ascii="Times New Roman" w:hAnsi="Times New Roman" w:cs="Times New Roman"/>
                <w:i w:val="0"/>
                <w:iCs w:val="0"/>
                <w:color w:val="auto"/>
                <w:szCs w:val="22"/>
                <w:highlight w:val="none"/>
                <w:lang w:val="en-US" w:eastAsia="zh-CN"/>
              </w:rPr>
              <w:t>明确了总目标，并</w:t>
            </w:r>
            <w:r>
              <w:rPr>
                <w:rFonts w:hint="default" w:ascii="Times New Roman" w:hAnsi="Times New Roman" w:cs="Times New Roman"/>
                <w:i w:val="0"/>
                <w:iCs w:val="0"/>
                <w:color w:val="auto"/>
                <w:szCs w:val="22"/>
                <w:highlight w:val="none"/>
                <w:lang w:val="en-US" w:eastAsia="zh-CN"/>
              </w:rPr>
              <w:t>对目标进行了分解；见</w:t>
            </w:r>
            <w:r>
              <w:rPr>
                <w:rFonts w:hint="eastAsia" w:ascii="Times New Roman" w:hAnsi="Times New Roman" w:cs="Times New Roman"/>
                <w:i w:val="0"/>
                <w:iCs w:val="0"/>
                <w:color w:val="auto"/>
                <w:szCs w:val="22"/>
                <w:highlight w:val="none"/>
                <w:lang w:val="en-US" w:eastAsia="zh-CN"/>
              </w:rPr>
              <w:t>行政部</w:t>
            </w:r>
            <w:r>
              <w:rPr>
                <w:rFonts w:hint="default" w:ascii="Times New Roman" w:hAnsi="Times New Roman" w:cs="Times New Roman"/>
                <w:i w:val="0"/>
                <w:iCs w:val="0"/>
                <w:color w:val="auto"/>
                <w:szCs w:val="22"/>
                <w:highlight w:val="none"/>
                <w:lang w:val="en-US" w:eastAsia="zh-CN"/>
              </w:rPr>
              <w:t>的目标：</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Times New Roman" w:hAnsi="Times New Roman" w:cs="Times New Roman"/>
                <w:i w:val="0"/>
                <w:iCs w:val="0"/>
                <w:color w:val="auto"/>
                <w:szCs w:val="22"/>
                <w:highlight w:val="none"/>
                <w:lang w:val="en-US" w:eastAsia="zh-CN"/>
              </w:rPr>
            </w:pPr>
            <w:r>
              <w:rPr>
                <w:rFonts w:hint="eastAsia" w:ascii="Times New Roman" w:hAnsi="Times New Roman" w:cs="Times New Roman"/>
                <w:i w:val="0"/>
                <w:iCs w:val="0"/>
                <w:color w:val="auto"/>
                <w:szCs w:val="22"/>
                <w:highlight w:val="none"/>
                <w:lang w:val="en-US" w:eastAsia="zh-CN"/>
              </w:rPr>
              <w:t>招聘和培训合格率达95%以上；</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Times New Roman" w:hAnsi="Times New Roman" w:cs="Times New Roman"/>
                <w:i w:val="0"/>
                <w:iCs w:val="0"/>
                <w:color w:val="auto"/>
                <w:szCs w:val="22"/>
                <w:highlight w:val="none"/>
                <w:lang w:val="en-US" w:eastAsia="zh-CN"/>
              </w:rPr>
            </w:pPr>
            <w:r>
              <w:rPr>
                <w:rFonts w:hint="eastAsia" w:ascii="Times New Roman" w:hAnsi="Times New Roman" w:cs="Times New Roman"/>
                <w:i w:val="0"/>
                <w:iCs w:val="0"/>
                <w:color w:val="auto"/>
                <w:szCs w:val="22"/>
                <w:highlight w:val="none"/>
                <w:lang w:val="en-US" w:eastAsia="zh-CN"/>
              </w:rPr>
              <w:t>固体废弃物分类处理100%；</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Times New Roman" w:hAnsi="Times New Roman" w:cs="Times New Roman"/>
                <w:i w:val="0"/>
                <w:iCs w:val="0"/>
                <w:color w:val="auto"/>
                <w:szCs w:val="22"/>
                <w:highlight w:val="none"/>
                <w:lang w:val="en-US" w:eastAsia="zh-CN"/>
              </w:rPr>
            </w:pPr>
            <w:r>
              <w:rPr>
                <w:rFonts w:hint="eastAsia" w:ascii="Times New Roman" w:hAnsi="Times New Roman" w:cs="Times New Roman"/>
                <w:i w:val="0"/>
                <w:iCs w:val="0"/>
                <w:color w:val="auto"/>
                <w:szCs w:val="22"/>
                <w:highlight w:val="none"/>
                <w:lang w:val="en-US" w:eastAsia="zh-CN"/>
              </w:rPr>
              <w:t>潜在火灾发生概率为0；</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Times New Roman" w:hAnsi="Times New Roman" w:cs="Times New Roman"/>
                <w:i w:val="0"/>
                <w:iCs w:val="0"/>
                <w:color w:val="auto"/>
                <w:szCs w:val="22"/>
                <w:highlight w:val="none"/>
                <w:lang w:val="en-US" w:eastAsia="zh-CN"/>
              </w:rPr>
            </w:pPr>
            <w:r>
              <w:rPr>
                <w:rFonts w:hint="eastAsia" w:ascii="Times New Roman" w:hAnsi="Times New Roman" w:cs="Times New Roman"/>
                <w:i w:val="0"/>
                <w:iCs w:val="0"/>
                <w:color w:val="auto"/>
                <w:szCs w:val="22"/>
                <w:highlight w:val="none"/>
                <w:lang w:val="en-US" w:eastAsia="zh-CN"/>
              </w:rPr>
              <w:t>触电事故发生率为0；</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Times New Roman" w:hAnsi="Times New Roman" w:cs="Times New Roman"/>
                <w:i w:val="0"/>
                <w:iCs w:val="0"/>
                <w:color w:val="auto"/>
                <w:szCs w:val="22"/>
                <w:highlight w:val="none"/>
                <w:lang w:val="en-US" w:eastAsia="zh-CN"/>
              </w:rPr>
            </w:pPr>
            <w:r>
              <w:rPr>
                <w:rFonts w:hint="eastAsia" w:ascii="Times New Roman" w:hAnsi="Times New Roman" w:cs="Times New Roman"/>
                <w:i w:val="0"/>
                <w:iCs w:val="0"/>
                <w:color w:val="auto"/>
                <w:szCs w:val="22"/>
                <w:highlight w:val="none"/>
                <w:lang w:val="en-US" w:eastAsia="zh-CN"/>
              </w:rPr>
              <w:t>供方评定合格率90%以上。</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Times New Roman" w:hAnsi="Times New Roman" w:cs="Times New Roman"/>
                <w:i w:val="0"/>
                <w:iCs w:val="0"/>
                <w:color w:val="auto"/>
                <w:szCs w:val="22"/>
                <w:highlight w:val="none"/>
                <w:lang w:val="en-US" w:eastAsia="zh-CN"/>
              </w:rPr>
            </w:pPr>
            <w:r>
              <w:rPr>
                <w:rFonts w:hint="eastAsia" w:ascii="Times New Roman" w:hAnsi="Times New Roman" w:cs="Times New Roman"/>
                <w:i w:val="0"/>
                <w:iCs w:val="0"/>
                <w:color w:val="auto"/>
                <w:szCs w:val="22"/>
                <w:highlight w:val="none"/>
                <w:lang w:val="en-US" w:eastAsia="zh-CN"/>
              </w:rPr>
              <w:t>制定“环境管理目标、指标及其管理方案”、“职业健康安全管理目标及方案”，对重要环境因素和不可接受风险的控制措施进行了策划；</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default" w:ascii="Times New Roman" w:hAnsi="Times New Roman" w:cs="Times New Roman"/>
                <w:i w:val="0"/>
                <w:iCs w:val="0"/>
                <w:color w:val="auto"/>
                <w:szCs w:val="22"/>
                <w:highlight w:val="none"/>
                <w:lang w:val="en-US" w:eastAsia="zh-CN"/>
              </w:rPr>
            </w:pPr>
            <w:r>
              <w:rPr>
                <w:rFonts w:hint="eastAsia" w:ascii="Times New Roman" w:hAnsi="Times New Roman" w:cs="Times New Roman"/>
                <w:i w:val="0"/>
                <w:iCs w:val="0"/>
                <w:color w:val="auto"/>
                <w:szCs w:val="22"/>
                <w:highlight w:val="none"/>
                <w:lang w:val="en-US" w:eastAsia="zh-CN"/>
              </w:rPr>
              <w:t>“目标考核表”显示按季度对目标完成情况进行了考核，2021.1-6均完成。</w:t>
            </w:r>
          </w:p>
        </w:tc>
        <w:tc>
          <w:tcPr>
            <w:tcW w:w="1585" w:type="dxa"/>
          </w:tcPr>
          <w:p>
            <w:pPr>
              <w:keepNext w:val="0"/>
              <w:keepLines w:val="0"/>
              <w:pageBreakBefore w:val="0"/>
              <w:widowControl w:val="0"/>
              <w:kinsoku/>
              <w:wordWrap/>
              <w:overflowPunct/>
              <w:topLinePunct w:val="0"/>
              <w:autoSpaceDE/>
              <w:autoSpaceDN/>
              <w:bidi w:val="0"/>
              <w:spacing w:after="0" w:line="360" w:lineRule="auto"/>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3" w:type="dxa"/>
            <w:vAlign w:val="top"/>
          </w:tcPr>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default" w:ascii="Times New Roman" w:hAnsi="Times New Roman" w:cs="Times New Roman"/>
                <w:color w:val="auto"/>
                <w:lang w:val="en-US" w:eastAsia="zh-CN"/>
              </w:rPr>
            </w:pPr>
            <w:r>
              <w:rPr>
                <w:rFonts w:hint="eastAsia" w:cs="Times New Roman"/>
                <w:color w:val="auto"/>
                <w:lang w:val="en-US" w:eastAsia="zh-CN"/>
              </w:rPr>
              <w:t>环境因素/</w:t>
            </w:r>
            <w:r>
              <w:rPr>
                <w:rFonts w:hint="default" w:ascii="Times New Roman" w:hAnsi="Times New Roman" w:cs="Times New Roman"/>
                <w:color w:val="auto"/>
                <w:lang w:val="en-US" w:eastAsia="zh-CN"/>
              </w:rPr>
              <w:t>危险源的识别与评价</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default" w:ascii="Times New Roman" w:hAnsi="Times New Roman" w:eastAsia="宋体" w:cs="Times New Roman"/>
                <w:color w:val="auto"/>
                <w:kern w:val="2"/>
                <w:sz w:val="21"/>
                <w:lang w:val="en-US" w:eastAsia="zh-CN" w:bidi="ar-SA"/>
              </w:rPr>
            </w:pPr>
            <w:r>
              <w:rPr>
                <w:rFonts w:hint="default" w:ascii="Times New Roman" w:hAnsi="Times New Roman" w:cs="Times New Roman"/>
                <w:color w:val="auto"/>
                <w:lang w:val="en-US" w:eastAsia="zh-CN"/>
              </w:rPr>
              <w:t>措施的策划</w:t>
            </w:r>
          </w:p>
        </w:tc>
        <w:tc>
          <w:tcPr>
            <w:tcW w:w="1187" w:type="dxa"/>
            <w:vAlign w:val="top"/>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Theme="minorEastAsia" w:hAnsiTheme="minorEastAsia" w:eastAsiaTheme="minorEastAsia" w:cstheme="minorEastAsia"/>
                <w:color w:val="auto"/>
                <w:spacing w:val="-6"/>
                <w:kern w:val="2"/>
                <w:sz w:val="21"/>
                <w:szCs w:val="21"/>
                <w:lang w:val="en-US" w:eastAsia="zh-CN" w:bidi="ar-SA"/>
              </w:rPr>
            </w:pPr>
            <w:r>
              <w:rPr>
                <w:rFonts w:hint="eastAsia" w:asciiTheme="minorEastAsia" w:hAnsiTheme="minorEastAsia" w:eastAsiaTheme="minorEastAsia" w:cstheme="minorEastAsia"/>
                <w:color w:val="auto"/>
                <w:spacing w:val="-6"/>
                <w:kern w:val="2"/>
                <w:sz w:val="21"/>
                <w:szCs w:val="21"/>
                <w:lang w:val="en-US" w:eastAsia="zh-CN" w:bidi="ar-SA"/>
              </w:rPr>
              <w:t>E</w:t>
            </w:r>
            <w:r>
              <w:rPr>
                <w:rFonts w:hint="default" w:asciiTheme="minorEastAsia" w:hAnsiTheme="minorEastAsia" w:eastAsiaTheme="minorEastAsia" w:cstheme="minorEastAsia"/>
                <w:color w:val="auto"/>
                <w:spacing w:val="-6"/>
                <w:kern w:val="2"/>
                <w:sz w:val="21"/>
                <w:szCs w:val="21"/>
                <w:lang w:val="en-US" w:eastAsia="zh-CN" w:bidi="ar-SA"/>
              </w:rPr>
              <w:t>O:6.1.2</w:t>
            </w:r>
          </w:p>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Times New Roman" w:hAnsi="Times New Roman" w:eastAsia="宋体" w:cs="Times New Roman"/>
                <w:color w:val="auto"/>
                <w:kern w:val="2"/>
                <w:sz w:val="21"/>
                <w:lang w:val="en-US" w:eastAsia="zh-CN" w:bidi="ar-SA"/>
              </w:rPr>
            </w:pPr>
            <w:r>
              <w:rPr>
                <w:rFonts w:hint="default" w:asciiTheme="minorEastAsia" w:hAnsiTheme="minorEastAsia" w:eastAsiaTheme="minorEastAsia" w:cstheme="minorEastAsia"/>
                <w:color w:val="auto"/>
                <w:spacing w:val="-6"/>
                <w:kern w:val="2"/>
                <w:sz w:val="21"/>
                <w:szCs w:val="21"/>
                <w:lang w:val="en-US" w:eastAsia="zh-CN" w:bidi="ar-SA"/>
              </w:rPr>
              <w:t>6.1.4</w:t>
            </w:r>
          </w:p>
        </w:tc>
        <w:tc>
          <w:tcPr>
            <w:tcW w:w="9774" w:type="dxa"/>
            <w:vAlign w:val="top"/>
          </w:tcPr>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Times New Roman" w:hAnsi="Times New Roman" w:cs="Times New Roman"/>
                <w:i w:val="0"/>
                <w:iCs w:val="0"/>
                <w:color w:val="auto"/>
                <w:szCs w:val="22"/>
                <w:highlight w:val="none"/>
                <w:lang w:val="en-US" w:eastAsia="zh-CN"/>
              </w:rPr>
            </w:pPr>
            <w:r>
              <w:rPr>
                <w:rFonts w:hint="eastAsia" w:ascii="Times New Roman" w:hAnsi="Times New Roman" w:cs="Times New Roman"/>
                <w:i w:val="0"/>
                <w:iCs w:val="0"/>
                <w:color w:val="auto"/>
                <w:szCs w:val="22"/>
                <w:highlight w:val="none"/>
                <w:lang w:val="en-US" w:eastAsia="zh-CN"/>
              </w:rPr>
              <w:t>提供了环境因素和危险源识别评价与控制程序，有效文件。</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default" w:ascii="Times New Roman" w:hAnsi="Times New Roman" w:cs="Times New Roman"/>
                <w:i w:val="0"/>
                <w:iCs w:val="0"/>
                <w:color w:val="auto"/>
                <w:szCs w:val="22"/>
                <w:highlight w:val="none"/>
                <w:lang w:val="en-US" w:eastAsia="zh-CN"/>
              </w:rPr>
            </w:pPr>
            <w:r>
              <w:rPr>
                <w:rFonts w:hint="eastAsia" w:ascii="Times New Roman" w:hAnsi="Times New Roman" w:cs="Times New Roman"/>
                <w:i w:val="0"/>
                <w:iCs w:val="0"/>
                <w:color w:val="auto"/>
                <w:szCs w:val="22"/>
                <w:highlight w:val="none"/>
                <w:lang w:val="en-US" w:eastAsia="zh-CN"/>
              </w:rPr>
              <w:t>查“环境因素辨识和评价表”，涉及行政部的环境因素有：资源消耗、生活垃圾的处置不当污染环境、办公场所吸烟污染环境、复印机打印机废墨盒处置污染环境、火灾发生后废弃物污染大气、水土等。考虑了生命周期观点。</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Times New Roman" w:hAnsi="Times New Roman" w:cs="Times New Roman"/>
                <w:i w:val="0"/>
                <w:iCs w:val="0"/>
                <w:color w:val="auto"/>
                <w:szCs w:val="22"/>
                <w:highlight w:val="none"/>
                <w:lang w:val="en-US" w:eastAsia="zh-CN"/>
              </w:rPr>
            </w:pPr>
            <w:r>
              <w:rPr>
                <w:rFonts w:hint="eastAsia" w:ascii="Times New Roman" w:hAnsi="Times New Roman" w:cs="Times New Roman"/>
                <w:i w:val="0"/>
                <w:iCs w:val="0"/>
                <w:color w:val="auto"/>
                <w:szCs w:val="22"/>
                <w:highlight w:val="none"/>
                <w:lang w:val="en-US" w:eastAsia="zh-CN"/>
              </w:rPr>
              <w:t>采取打分法评价，查到“重要环境因素清单”，评价出办公活动的重要环境因素：一般固废排放、潜在火灾，制定了相应的管理方案和应急预案。</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default" w:ascii="Times New Roman" w:hAnsi="Times New Roman" w:cs="Times New Roman"/>
                <w:i w:val="0"/>
                <w:iCs w:val="0"/>
                <w:color w:val="auto"/>
                <w:szCs w:val="22"/>
                <w:highlight w:val="none"/>
                <w:lang w:val="en-US" w:eastAsia="zh-CN"/>
              </w:rPr>
            </w:pPr>
            <w:r>
              <w:rPr>
                <w:rFonts w:hint="eastAsia" w:ascii="Times New Roman" w:hAnsi="Times New Roman" w:cs="Times New Roman"/>
                <w:i w:val="0"/>
                <w:iCs w:val="0"/>
                <w:color w:val="auto"/>
                <w:szCs w:val="22"/>
                <w:highlight w:val="none"/>
                <w:lang w:val="en-US" w:eastAsia="zh-CN"/>
              </w:rPr>
              <w:t>查“危险源辨识、风险评价和风险控制策划表”，识别了办公活动计算机运行、办公用电、驾驶等过程中的危险源，主要包括中暑、漏电、其他伤害、车辆伤害、火灾、爆炸等。</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Times New Roman" w:hAnsi="Times New Roman" w:cs="Times New Roman"/>
                <w:i w:val="0"/>
                <w:iCs w:val="0"/>
                <w:color w:val="auto"/>
                <w:szCs w:val="22"/>
                <w:highlight w:val="none"/>
                <w:lang w:val="en-US" w:eastAsia="zh-CN"/>
              </w:rPr>
            </w:pPr>
            <w:r>
              <w:rPr>
                <w:rFonts w:hint="eastAsia" w:ascii="Times New Roman" w:hAnsi="Times New Roman" w:cs="Times New Roman"/>
                <w:i w:val="0"/>
                <w:iCs w:val="0"/>
                <w:color w:val="auto"/>
                <w:szCs w:val="22"/>
                <w:highlight w:val="none"/>
                <w:lang w:val="en-US" w:eastAsia="zh-CN"/>
              </w:rPr>
              <w:t>对识别出的危险源采取D=LEC进行评价；</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Times New Roman" w:hAnsi="Times New Roman" w:cs="Times New Roman"/>
                <w:i w:val="0"/>
                <w:iCs w:val="0"/>
                <w:color w:val="auto"/>
                <w:szCs w:val="22"/>
                <w:highlight w:val="none"/>
                <w:lang w:val="en-US" w:eastAsia="zh-CN"/>
              </w:rPr>
            </w:pPr>
            <w:r>
              <w:rPr>
                <w:rFonts w:hint="eastAsia" w:ascii="Times New Roman" w:hAnsi="Times New Roman" w:cs="Times New Roman"/>
                <w:i w:val="0"/>
                <w:iCs w:val="0"/>
                <w:color w:val="auto"/>
                <w:szCs w:val="22"/>
                <w:highlight w:val="none"/>
                <w:lang w:val="en-US" w:eastAsia="zh-CN"/>
              </w:rPr>
              <w:t>查“重大危险源清单”，评价出办公活动中的重大危险源包括：火灾、职业伤害、触电，制定了相应的管理方案和应急预案。</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default" w:ascii="Times New Roman" w:hAnsi="Times New Roman" w:cs="Times New Roman"/>
                <w:i w:val="0"/>
                <w:iCs w:val="0"/>
                <w:color w:val="auto"/>
                <w:szCs w:val="22"/>
                <w:highlight w:val="none"/>
                <w:lang w:val="en-US" w:eastAsia="zh-CN"/>
              </w:rPr>
            </w:pPr>
            <w:r>
              <w:rPr>
                <w:rFonts w:hint="eastAsia" w:ascii="Times New Roman" w:hAnsi="Times New Roman" w:cs="Times New Roman"/>
                <w:i w:val="0"/>
                <w:iCs w:val="0"/>
                <w:color w:val="auto"/>
                <w:szCs w:val="22"/>
                <w:highlight w:val="none"/>
                <w:lang w:val="en-US" w:eastAsia="zh-CN"/>
              </w:rPr>
              <w:t>经组织评价，组织策划的措施基本能够满足标准要求。</w:t>
            </w:r>
          </w:p>
        </w:tc>
        <w:tc>
          <w:tcPr>
            <w:tcW w:w="1585" w:type="dxa"/>
            <w:vAlign w:val="top"/>
          </w:tcPr>
          <w:p>
            <w:pPr>
              <w:keepNext w:val="0"/>
              <w:keepLines w:val="0"/>
              <w:pageBreakBefore w:val="0"/>
              <w:widowControl w:val="0"/>
              <w:kinsoku/>
              <w:wordWrap/>
              <w:overflowPunct/>
              <w:topLinePunct w:val="0"/>
              <w:autoSpaceDE/>
              <w:autoSpaceDN/>
              <w:bidi w:val="0"/>
              <w:adjustRightInd/>
              <w:snapToGrid/>
              <w:spacing w:after="0" w:line="360" w:lineRule="auto"/>
              <w:jc w:val="both"/>
              <w:textAlignment w:val="auto"/>
              <w:rPr>
                <w:rFonts w:hint="default" w:ascii="Times New Roman" w:hAnsi="Times New Roman" w:eastAsia="宋体" w:cs="Times New Roman"/>
                <w:color w:val="0000FF"/>
                <w:kern w:val="2"/>
                <w:sz w:val="21"/>
                <w:lang w:val="en-US" w:eastAsia="zh-CN" w:bidi="ar-SA"/>
              </w:rPr>
            </w:pPr>
            <w:r>
              <w:rPr>
                <w:rFonts w:hint="default" w:ascii="Times New Roman" w:hAnsi="Times New Roman" w:cs="Times New Roman"/>
                <w:color w:val="auto"/>
                <w:kern w:val="2"/>
                <w:sz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3" w:type="dxa"/>
            <w:vAlign w:val="top"/>
          </w:tcPr>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default"/>
                <w:lang w:val="en-US" w:eastAsia="zh-CN"/>
              </w:rPr>
            </w:pPr>
            <w:r>
              <w:rPr>
                <w:rFonts w:hint="default"/>
                <w:lang w:val="en-US" w:eastAsia="zh-CN"/>
              </w:rPr>
              <w:t>人员</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default"/>
                <w:lang w:val="en-US" w:eastAsia="zh-CN"/>
              </w:rPr>
            </w:pPr>
            <w:r>
              <w:rPr>
                <w:rFonts w:hint="default"/>
                <w:lang w:val="en-US" w:eastAsia="zh-CN"/>
              </w:rPr>
              <w:t>能力</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default"/>
                <w:lang w:val="en-US" w:eastAsia="zh-CN"/>
              </w:rPr>
            </w:pPr>
            <w:r>
              <w:rPr>
                <w:rFonts w:hint="default"/>
                <w:lang w:val="en-US" w:eastAsia="zh-CN"/>
              </w:rPr>
              <w:t>意识</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default"/>
                <w:lang w:val="en-US" w:eastAsia="zh-CN"/>
              </w:rPr>
            </w:pPr>
            <w:r>
              <w:rPr>
                <w:rFonts w:hint="eastAsia"/>
                <w:lang w:val="en-US" w:eastAsia="zh-CN"/>
              </w:rPr>
              <w:t>沟通/信息交流</w:t>
            </w:r>
          </w:p>
        </w:tc>
        <w:tc>
          <w:tcPr>
            <w:tcW w:w="1187" w:type="dxa"/>
            <w:vAlign w:val="top"/>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Theme="minorEastAsia" w:hAnsiTheme="minorEastAsia" w:eastAsiaTheme="minorEastAsia" w:cstheme="minorEastAsia"/>
                <w:color w:val="auto"/>
                <w:spacing w:val="-6"/>
                <w:kern w:val="2"/>
                <w:sz w:val="21"/>
                <w:szCs w:val="21"/>
                <w:lang w:val="en-US" w:eastAsia="zh-CN" w:bidi="ar-SA"/>
              </w:rPr>
            </w:pPr>
            <w:r>
              <w:rPr>
                <w:rFonts w:hint="default" w:asciiTheme="minorEastAsia" w:hAnsiTheme="minorEastAsia" w:eastAsiaTheme="minorEastAsia" w:cstheme="minorEastAsia"/>
                <w:color w:val="auto"/>
                <w:spacing w:val="-6"/>
                <w:kern w:val="2"/>
                <w:sz w:val="21"/>
                <w:szCs w:val="21"/>
                <w:lang w:val="en-US" w:eastAsia="zh-CN" w:bidi="ar-SA"/>
              </w:rPr>
              <w:t>Q:7.1.2</w:t>
            </w:r>
          </w:p>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Theme="minorEastAsia" w:hAnsiTheme="minorEastAsia" w:eastAsiaTheme="minorEastAsia" w:cstheme="minorEastAsia"/>
                <w:color w:val="auto"/>
                <w:spacing w:val="-6"/>
                <w:kern w:val="2"/>
                <w:sz w:val="21"/>
                <w:szCs w:val="21"/>
                <w:lang w:val="en-US" w:eastAsia="zh-CN" w:bidi="ar-SA"/>
              </w:rPr>
            </w:pPr>
            <w:r>
              <w:rPr>
                <w:rFonts w:hint="eastAsia" w:asciiTheme="minorEastAsia" w:hAnsiTheme="minorEastAsia" w:eastAsiaTheme="minorEastAsia" w:cstheme="minorEastAsia"/>
                <w:color w:val="auto"/>
                <w:spacing w:val="-6"/>
                <w:kern w:val="2"/>
                <w:sz w:val="21"/>
                <w:szCs w:val="21"/>
                <w:lang w:val="en-US" w:eastAsia="zh-CN" w:bidi="ar-SA"/>
              </w:rPr>
              <w:t>QE</w:t>
            </w:r>
            <w:r>
              <w:rPr>
                <w:rFonts w:hint="default" w:asciiTheme="minorEastAsia" w:hAnsiTheme="minorEastAsia" w:eastAsiaTheme="minorEastAsia" w:cstheme="minorEastAsia"/>
                <w:color w:val="auto"/>
                <w:spacing w:val="-6"/>
                <w:kern w:val="2"/>
                <w:sz w:val="21"/>
                <w:szCs w:val="21"/>
                <w:lang w:val="en-US" w:eastAsia="zh-CN" w:bidi="ar-SA"/>
              </w:rPr>
              <w:t>O:7.2</w:t>
            </w:r>
          </w:p>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Theme="minorEastAsia" w:hAnsiTheme="minorEastAsia" w:eastAsiaTheme="minorEastAsia" w:cstheme="minorEastAsia"/>
                <w:color w:val="auto"/>
                <w:spacing w:val="-6"/>
                <w:kern w:val="2"/>
                <w:sz w:val="21"/>
                <w:szCs w:val="21"/>
                <w:lang w:val="en-US" w:eastAsia="zh-CN" w:bidi="ar-SA"/>
              </w:rPr>
            </w:pPr>
            <w:r>
              <w:rPr>
                <w:rFonts w:hint="default" w:asciiTheme="minorEastAsia" w:hAnsiTheme="minorEastAsia" w:eastAsiaTheme="minorEastAsia" w:cstheme="minorEastAsia"/>
                <w:color w:val="auto"/>
                <w:spacing w:val="-6"/>
                <w:kern w:val="2"/>
                <w:sz w:val="21"/>
                <w:szCs w:val="21"/>
                <w:lang w:val="en-US" w:eastAsia="zh-CN" w:bidi="ar-SA"/>
              </w:rPr>
              <w:t>7.3</w:t>
            </w:r>
          </w:p>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Theme="minorEastAsia" w:hAnsiTheme="minorEastAsia" w:eastAsiaTheme="minorEastAsia" w:cstheme="minorEastAsia"/>
                <w:color w:val="auto"/>
                <w:spacing w:val="-6"/>
                <w:kern w:val="2"/>
                <w:sz w:val="21"/>
                <w:szCs w:val="21"/>
                <w:lang w:val="en-US" w:eastAsia="zh-CN" w:bidi="ar-SA"/>
              </w:rPr>
            </w:pPr>
            <w:r>
              <w:rPr>
                <w:rFonts w:hint="eastAsia" w:asciiTheme="minorEastAsia" w:hAnsiTheme="minorEastAsia" w:eastAsiaTheme="minorEastAsia" w:cstheme="minorEastAsia"/>
                <w:color w:val="auto"/>
                <w:spacing w:val="-6"/>
                <w:kern w:val="2"/>
                <w:sz w:val="21"/>
                <w:szCs w:val="21"/>
                <w:lang w:val="en-US" w:eastAsia="zh-CN" w:bidi="ar-SA"/>
              </w:rPr>
              <w:t>7.4</w:t>
            </w:r>
          </w:p>
        </w:tc>
        <w:tc>
          <w:tcPr>
            <w:tcW w:w="9774" w:type="dxa"/>
            <w:vAlign w:val="top"/>
          </w:tcPr>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建立有《人力资源控制程序》，有效文件；</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公司现有人员</w:t>
            </w:r>
            <w:r>
              <w:rPr>
                <w:rFonts w:hint="eastAsia" w:cs="Times New Roman"/>
                <w:b/>
                <w:highlight w:val="none"/>
                <w:lang w:val="en-US" w:eastAsia="zh-CN"/>
              </w:rPr>
              <w:t>39</w:t>
            </w:r>
            <w:r>
              <w:rPr>
                <w:rFonts w:hint="default" w:ascii="Times New Roman" w:hAnsi="Times New Roman" w:cs="Times New Roman"/>
                <w:color w:val="auto"/>
                <w:highlight w:val="none"/>
                <w:lang w:val="en-US" w:eastAsia="zh-CN"/>
              </w:rPr>
              <w:t>人</w:t>
            </w:r>
            <w:r>
              <w:rPr>
                <w:rFonts w:hint="default" w:ascii="Times New Roman" w:hAnsi="Times New Roman" w:cs="Times New Roman"/>
                <w:color w:val="0000FF"/>
                <w:highlight w:val="none"/>
                <w:lang w:val="en-US" w:eastAsia="zh-CN"/>
              </w:rPr>
              <w:t>，</w:t>
            </w:r>
            <w:r>
              <w:rPr>
                <w:rFonts w:hint="default" w:ascii="Times New Roman" w:hAnsi="Times New Roman" w:cs="Times New Roman"/>
                <w:color w:val="auto"/>
                <w:spacing w:val="-6"/>
                <w:sz w:val="21"/>
                <w:szCs w:val="21"/>
                <w:highlight w:val="none"/>
                <w:lang w:val="en-US" w:eastAsia="zh-CN"/>
              </w:rPr>
              <w:t>管理人员、技术人员能</w:t>
            </w:r>
            <w:r>
              <w:rPr>
                <w:rFonts w:hint="default" w:ascii="Times New Roman" w:hAnsi="Times New Roman" w:cs="Times New Roman"/>
                <w:color w:val="auto"/>
                <w:highlight w:val="none"/>
                <w:lang w:val="en-US" w:eastAsia="zh-CN"/>
              </w:rPr>
              <w:t>够有效实施管理体系，并运行和控制其过程。</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查见“年度员工培训计划”，计划2021年开展管理体系内审员培训、环境、安全法律法规的培训、岗位技能培训等</w:t>
            </w:r>
            <w:r>
              <w:rPr>
                <w:rFonts w:hint="eastAsia" w:cs="Times New Roman"/>
                <w:color w:val="auto"/>
                <w:highlight w:val="none"/>
                <w:lang w:val="en-US" w:eastAsia="zh-CN"/>
              </w:rPr>
              <w:t>8</w:t>
            </w:r>
            <w:r>
              <w:rPr>
                <w:rFonts w:hint="default" w:ascii="Times New Roman" w:hAnsi="Times New Roman" w:cs="Times New Roman"/>
                <w:color w:val="auto"/>
                <w:highlight w:val="none"/>
                <w:lang w:val="en-US" w:eastAsia="zh-CN"/>
              </w:rPr>
              <w:t>项次；</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ascii="Times New Roman" w:hAnsi="Times New Roman" w:cs="Times New Roman"/>
                <w:color w:val="auto"/>
                <w:szCs w:val="22"/>
                <w:highlight w:val="none"/>
                <w:lang w:val="en-US" w:eastAsia="zh-CN"/>
              </w:rPr>
            </w:pPr>
            <w:r>
              <w:rPr>
                <w:rFonts w:hint="default" w:ascii="Times New Roman" w:hAnsi="Times New Roman" w:cs="Times New Roman"/>
                <w:color w:val="auto"/>
                <w:szCs w:val="22"/>
                <w:highlight w:val="none"/>
                <w:lang w:val="en-US" w:eastAsia="zh-CN"/>
              </w:rPr>
              <w:t>查“培训记录及培训效果评价表”，抽见：</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ascii="Times New Roman" w:hAnsi="Times New Roman" w:cs="Times New Roman"/>
                <w:color w:val="auto"/>
                <w:szCs w:val="22"/>
                <w:highlight w:val="none"/>
                <w:lang w:val="en-US" w:eastAsia="zh-CN"/>
              </w:rPr>
            </w:pPr>
            <w:r>
              <w:rPr>
                <w:rFonts w:hint="default" w:ascii="Times New Roman" w:hAnsi="Times New Roman" w:cs="Times New Roman"/>
                <w:color w:val="auto"/>
                <w:szCs w:val="22"/>
                <w:highlight w:val="none"/>
                <w:lang w:val="en-US" w:eastAsia="zh-CN"/>
              </w:rPr>
              <w:t>管理手册、程序文件</w:t>
            </w:r>
            <w:r>
              <w:rPr>
                <w:rFonts w:hint="eastAsia" w:cs="Times New Roman"/>
                <w:color w:val="auto"/>
                <w:szCs w:val="22"/>
                <w:highlight w:val="none"/>
                <w:lang w:val="en-US" w:eastAsia="zh-CN"/>
              </w:rPr>
              <w:t>——</w:t>
            </w:r>
            <w:r>
              <w:rPr>
                <w:rFonts w:hint="default" w:ascii="Times New Roman" w:hAnsi="Times New Roman" w:cs="Times New Roman"/>
                <w:color w:val="auto"/>
                <w:szCs w:val="22"/>
                <w:highlight w:val="none"/>
                <w:lang w:val="en-US" w:eastAsia="zh-CN"/>
              </w:rPr>
              <w:t>2021.4.18</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ascii="Times New Roman" w:hAnsi="Times New Roman" w:cs="Times New Roman"/>
                <w:color w:val="auto"/>
                <w:szCs w:val="22"/>
                <w:highlight w:val="none"/>
                <w:lang w:val="en-US" w:eastAsia="zh-CN"/>
              </w:rPr>
            </w:pPr>
            <w:r>
              <w:rPr>
                <w:rFonts w:hint="default" w:ascii="Times New Roman" w:hAnsi="Times New Roman" w:cs="Times New Roman"/>
                <w:color w:val="auto"/>
                <w:szCs w:val="22"/>
                <w:highlight w:val="none"/>
                <w:lang w:val="en-US" w:eastAsia="zh-CN"/>
              </w:rPr>
              <w:t>管理体系内审员培训</w:t>
            </w:r>
            <w:r>
              <w:rPr>
                <w:rFonts w:hint="eastAsia" w:cs="Times New Roman"/>
                <w:color w:val="auto"/>
                <w:szCs w:val="22"/>
                <w:highlight w:val="none"/>
                <w:lang w:val="en-US" w:eastAsia="zh-CN"/>
              </w:rPr>
              <w:t>——</w:t>
            </w:r>
            <w:r>
              <w:rPr>
                <w:rFonts w:hint="default" w:ascii="Times New Roman" w:hAnsi="Times New Roman" w:cs="Times New Roman"/>
                <w:color w:val="auto"/>
                <w:szCs w:val="22"/>
                <w:highlight w:val="none"/>
                <w:lang w:val="en-US" w:eastAsia="zh-CN"/>
              </w:rPr>
              <w:t>2021.4.19</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ascii="Times New Roman" w:hAnsi="Times New Roman" w:cs="Times New Roman"/>
                <w:color w:val="auto"/>
                <w:szCs w:val="22"/>
                <w:highlight w:val="none"/>
                <w:lang w:val="en-US" w:eastAsia="zh-CN"/>
              </w:rPr>
            </w:pPr>
            <w:r>
              <w:rPr>
                <w:rFonts w:hint="default" w:ascii="Times New Roman" w:hAnsi="Times New Roman" w:cs="Times New Roman"/>
                <w:color w:val="auto"/>
                <w:szCs w:val="22"/>
                <w:highlight w:val="none"/>
                <w:lang w:val="en-US" w:eastAsia="zh-CN"/>
              </w:rPr>
              <w:t>业务员在外安全事项的培训</w:t>
            </w:r>
            <w:r>
              <w:rPr>
                <w:rFonts w:hint="eastAsia" w:cs="Times New Roman"/>
                <w:color w:val="auto"/>
                <w:szCs w:val="22"/>
                <w:highlight w:val="none"/>
                <w:lang w:val="en-US" w:eastAsia="zh-CN"/>
              </w:rPr>
              <w:t>——</w:t>
            </w:r>
            <w:r>
              <w:rPr>
                <w:rFonts w:hint="default" w:ascii="Times New Roman" w:hAnsi="Times New Roman" w:cs="Times New Roman"/>
                <w:color w:val="auto"/>
                <w:szCs w:val="22"/>
                <w:highlight w:val="none"/>
                <w:lang w:val="en-US" w:eastAsia="zh-CN"/>
              </w:rPr>
              <w:t>2021.6.19</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ascii="Times New Roman" w:hAnsi="Times New Roman" w:cs="Times New Roman"/>
                <w:color w:val="auto"/>
                <w:highlight w:val="yellow"/>
                <w:lang w:val="en-US" w:eastAsia="zh-CN"/>
              </w:rPr>
            </w:pPr>
            <w:r>
              <w:rPr>
                <w:rFonts w:hint="default" w:ascii="Times New Roman" w:hAnsi="Times New Roman" w:cs="Times New Roman"/>
                <w:color w:val="auto"/>
                <w:szCs w:val="22"/>
                <w:highlight w:val="none"/>
                <w:lang w:val="en-US" w:eastAsia="zh-CN"/>
              </w:rPr>
              <w:t>考核及评价记录显示以口头问答的方式对培训效果进行了评价，培训达到预期的目的。</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ascii="Times New Roman" w:hAnsi="Times New Roman" w:cs="Times New Roman"/>
                <w:color w:val="auto"/>
                <w:szCs w:val="22"/>
                <w:highlight w:val="none"/>
                <w:lang w:val="en-US" w:eastAsia="zh-CN"/>
              </w:rPr>
            </w:pPr>
            <w:r>
              <w:rPr>
                <w:rFonts w:hint="default" w:ascii="Times New Roman" w:hAnsi="Times New Roman" w:cs="Times New Roman"/>
                <w:color w:val="auto"/>
                <w:szCs w:val="22"/>
                <w:highlight w:val="none"/>
                <w:lang w:val="en-US" w:eastAsia="zh-CN"/>
              </w:rPr>
              <w:t>查见人员</w:t>
            </w:r>
            <w:r>
              <w:rPr>
                <w:rFonts w:hint="eastAsia" w:cs="Times New Roman"/>
                <w:color w:val="auto"/>
                <w:szCs w:val="22"/>
                <w:highlight w:val="none"/>
                <w:lang w:val="en-US" w:eastAsia="zh-CN"/>
              </w:rPr>
              <w:t>资质</w:t>
            </w:r>
            <w:r>
              <w:rPr>
                <w:rFonts w:hint="default" w:ascii="Times New Roman" w:hAnsi="Times New Roman" w:cs="Times New Roman"/>
                <w:color w:val="auto"/>
                <w:szCs w:val="22"/>
                <w:highlight w:val="none"/>
                <w:lang w:val="en-US" w:eastAsia="zh-CN"/>
              </w:rPr>
              <w:t>：</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ascii="Times New Roman" w:hAnsi="Times New Roman" w:cs="Times New Roman"/>
                <w:color w:val="auto"/>
                <w:szCs w:val="22"/>
                <w:highlight w:val="none"/>
                <w:lang w:val="en-US" w:eastAsia="zh-CN"/>
              </w:rPr>
            </w:pPr>
            <w:r>
              <w:rPr>
                <w:rFonts w:hint="eastAsia" w:cs="Times New Roman"/>
                <w:color w:val="auto"/>
                <w:szCs w:val="22"/>
                <w:highlight w:val="none"/>
                <w:lang w:val="en-US" w:eastAsia="zh-CN"/>
              </w:rPr>
              <w:t>万</w:t>
            </w:r>
            <w:r>
              <w:rPr>
                <w:rFonts w:hint="default" w:ascii="Times New Roman" w:hAnsi="Times New Roman" w:cs="Times New Roman"/>
                <w:color w:val="auto"/>
                <w:szCs w:val="22"/>
                <w:highlight w:val="none"/>
                <w:lang w:val="en-US" w:eastAsia="zh-CN"/>
              </w:rPr>
              <w:t>X——</w:t>
            </w:r>
            <w:r>
              <w:rPr>
                <w:rFonts w:hint="eastAsia" w:cs="Times New Roman"/>
                <w:color w:val="auto"/>
                <w:szCs w:val="22"/>
                <w:highlight w:val="none"/>
                <w:lang w:val="en-US" w:eastAsia="zh-CN"/>
              </w:rPr>
              <w:t>“批准江西三科检测有限公司授权签字人及领域表”——技术负责人，江西省市场监督管理局许可，2024.8.26</w:t>
            </w:r>
            <w:r>
              <w:rPr>
                <w:rFonts w:hint="default" w:ascii="Times New Roman" w:hAnsi="Times New Roman" w:cs="Times New Roman"/>
                <w:color w:val="auto"/>
                <w:szCs w:val="22"/>
                <w:highlight w:val="none"/>
                <w:lang w:val="en-US" w:eastAsia="zh-CN"/>
              </w:rPr>
              <w:t>；</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ascii="Times New Roman" w:hAnsi="Times New Roman" w:cs="Times New Roman"/>
                <w:color w:val="auto"/>
                <w:szCs w:val="22"/>
                <w:highlight w:val="none"/>
                <w:lang w:val="en-US" w:eastAsia="zh-CN"/>
              </w:rPr>
            </w:pPr>
            <w:r>
              <w:rPr>
                <w:rFonts w:hint="eastAsia" w:cs="Times New Roman"/>
                <w:color w:val="auto"/>
                <w:szCs w:val="22"/>
                <w:highlight w:val="none"/>
                <w:lang w:val="en-US" w:eastAsia="zh-CN"/>
              </w:rPr>
              <w:t>沈XX——维修电工，九江市职业技能鉴定（指导）中心，2014.8.2；</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eastAsia" w:cs="Times New Roman"/>
                <w:color w:val="auto"/>
                <w:szCs w:val="22"/>
                <w:highlight w:val="none"/>
                <w:lang w:val="en-US" w:eastAsia="zh-CN"/>
              </w:rPr>
            </w:pPr>
            <w:r>
              <w:rPr>
                <w:rFonts w:hint="eastAsia" w:cs="Times New Roman"/>
                <w:color w:val="auto"/>
                <w:szCs w:val="22"/>
                <w:highlight w:val="none"/>
                <w:lang w:val="en-US" w:eastAsia="zh-CN"/>
              </w:rPr>
              <w:t>李X——上岗证及执证上岗项目登记表，2019.3.19，江西三科检测有限公司；</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eastAsia" w:cs="Times New Roman"/>
                <w:color w:val="auto"/>
                <w:szCs w:val="22"/>
                <w:highlight w:val="none"/>
                <w:lang w:val="en-US" w:eastAsia="zh-CN"/>
              </w:rPr>
            </w:pPr>
            <w:r>
              <w:rPr>
                <w:rFonts w:hint="eastAsia" w:cs="Times New Roman"/>
                <w:color w:val="auto"/>
                <w:szCs w:val="22"/>
                <w:highlight w:val="none"/>
                <w:lang w:val="en-US" w:eastAsia="zh-CN"/>
              </w:rPr>
              <w:t>另查见：万X、金X、胡XX、雷XX等，同上；</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eastAsia" w:cs="Times New Roman"/>
                <w:color w:val="auto"/>
                <w:szCs w:val="22"/>
                <w:highlight w:val="none"/>
                <w:lang w:val="en-US" w:eastAsia="zh-CN"/>
              </w:rPr>
            </w:pPr>
            <w:r>
              <w:rPr>
                <w:rFonts w:hint="eastAsia" w:cs="Times New Roman"/>
                <w:color w:val="auto"/>
                <w:szCs w:val="22"/>
                <w:highlight w:val="none"/>
                <w:lang w:val="en-US" w:eastAsia="zh-CN"/>
              </w:rPr>
              <w:t>查见上述人员内部培训和考试合格的资料。</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ascii="Times New Roman" w:hAnsi="Times New Roman" w:cs="Times New Roman"/>
                <w:color w:val="auto"/>
                <w:szCs w:val="22"/>
                <w:highlight w:val="none"/>
                <w:lang w:val="en-US" w:eastAsia="zh-CN"/>
              </w:rPr>
            </w:pPr>
            <w:r>
              <w:rPr>
                <w:rFonts w:hint="default" w:ascii="Times New Roman" w:hAnsi="Times New Roman" w:cs="Times New Roman"/>
                <w:color w:val="auto"/>
                <w:szCs w:val="22"/>
                <w:highlight w:val="none"/>
                <w:lang w:val="en-US" w:eastAsia="zh-CN"/>
              </w:rPr>
              <w:t>意识：经与部门负责人沟通交流，主要通过培训提高岗位作业水平和环保、安全意识，询问部分员工，他们对公司的管理方针、管理目标、对职业健康安全管理体系有效性的贡献，包括提高效率、技能带来的节能减排、保护员工健康等的益处，以及因自己岗位职责疏忽带来不符合给公司环境安全承诺带来的后果。</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ascii="Times New Roman" w:hAnsi="Times New Roman" w:cs="Times New Roman"/>
                <w:color w:val="auto"/>
                <w:szCs w:val="22"/>
                <w:highlight w:val="none"/>
                <w:lang w:val="en-US" w:eastAsia="zh-CN"/>
              </w:rPr>
            </w:pPr>
            <w:r>
              <w:rPr>
                <w:rFonts w:hint="default" w:ascii="Times New Roman" w:hAnsi="Times New Roman" w:cs="Times New Roman"/>
                <w:color w:val="auto"/>
                <w:szCs w:val="22"/>
                <w:highlight w:val="none"/>
                <w:lang w:val="en-US" w:eastAsia="zh-CN"/>
              </w:rPr>
              <w:t>员工能明确自身职责及岗位要求，自身工作影响，员工人身安全意识等。</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ascii="Times New Roman" w:hAnsi="Times New Roman" w:cs="Times New Roman"/>
                <w:color w:val="auto"/>
                <w:szCs w:val="22"/>
                <w:highlight w:val="none"/>
                <w:lang w:val="en-US" w:eastAsia="zh-CN"/>
              </w:rPr>
            </w:pPr>
            <w:r>
              <w:rPr>
                <w:rFonts w:hint="default" w:ascii="Times New Roman" w:hAnsi="Times New Roman" w:cs="Times New Roman"/>
                <w:color w:val="auto"/>
                <w:szCs w:val="22"/>
                <w:highlight w:val="none"/>
                <w:lang w:val="en-US" w:eastAsia="zh-CN"/>
              </w:rPr>
              <w:t>组织在各部门之间建立了与体系有关的信息通渠沟道，借助于会议、电话、口头交流等方式使全体员工达到沟通和理解。目前各部门协调一致，工作上的借口基本理顺。</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ascii="Times New Roman" w:hAnsi="Times New Roman" w:cs="Times New Roman"/>
                <w:color w:val="auto"/>
                <w:szCs w:val="22"/>
                <w:highlight w:val="none"/>
                <w:lang w:val="en-US" w:eastAsia="zh-CN"/>
              </w:rPr>
            </w:pPr>
            <w:r>
              <w:rPr>
                <w:rFonts w:hint="default" w:ascii="Times New Roman" w:hAnsi="Times New Roman" w:cs="Times New Roman"/>
                <w:color w:val="auto"/>
                <w:szCs w:val="22"/>
                <w:highlight w:val="none"/>
                <w:lang w:val="en-US" w:eastAsia="zh-CN"/>
              </w:rPr>
              <w:t>行政部是内外部信息交流的中心，通过会议、邮件、培训等形式进行内部交流，向外部接收各种文件传递各种报表，外部沟通联络的部门有环保部门、劳动部门、消防安全部门、质监部门、安监部门及合同方等。</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firstLine="420" w:firstLineChars="200"/>
              <w:textAlignment w:val="auto"/>
              <w:rPr>
                <w:rFonts w:hint="default" w:ascii="Times New Roman" w:hAnsi="Times New Roman" w:eastAsia="宋体" w:cs="Times New Roman"/>
                <w:color w:val="auto"/>
                <w:kern w:val="2"/>
                <w:sz w:val="21"/>
                <w:lang w:val="en-US" w:eastAsia="zh-CN" w:bidi="ar-SA"/>
              </w:rPr>
            </w:pPr>
            <w:r>
              <w:rPr>
                <w:rFonts w:hint="default" w:ascii="Times New Roman" w:hAnsi="Times New Roman" w:cs="Times New Roman"/>
                <w:color w:val="auto"/>
                <w:szCs w:val="22"/>
                <w:highlight w:val="none"/>
                <w:lang w:val="en-US" w:eastAsia="zh-CN"/>
              </w:rPr>
              <w:t>基本能满足要求。</w:t>
            </w:r>
          </w:p>
        </w:tc>
        <w:tc>
          <w:tcPr>
            <w:tcW w:w="1585" w:type="dxa"/>
            <w:vAlign w:val="top"/>
          </w:tcPr>
          <w:p>
            <w:pPr>
              <w:keepNext w:val="0"/>
              <w:keepLines w:val="0"/>
              <w:pageBreakBefore w:val="0"/>
              <w:widowControl w:val="0"/>
              <w:kinsoku/>
              <w:wordWrap/>
              <w:overflowPunct/>
              <w:topLinePunct w:val="0"/>
              <w:autoSpaceDE/>
              <w:autoSpaceDN/>
              <w:bidi w:val="0"/>
              <w:adjustRightInd/>
              <w:snapToGrid/>
              <w:spacing w:after="0" w:line="360" w:lineRule="auto"/>
              <w:jc w:val="both"/>
              <w:textAlignment w:val="auto"/>
              <w:rPr>
                <w:rFonts w:hint="default" w:ascii="Times New Roman" w:hAnsi="Times New Roman" w:eastAsia="宋体" w:cs="Times New Roman"/>
                <w:color w:val="0000FF"/>
                <w:kern w:val="2"/>
                <w:sz w:val="21"/>
                <w:lang w:val="en-US" w:eastAsia="zh-CN" w:bidi="ar-SA"/>
              </w:rPr>
            </w:pPr>
            <w:r>
              <w:rPr>
                <w:rFonts w:hint="default" w:ascii="Times New Roman" w:hAnsi="Times New Roman" w:cs="Times New Roman"/>
                <w:color w:val="auto"/>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3" w:type="dxa"/>
            <w:vAlign w:val="center"/>
          </w:tcPr>
          <w:p>
            <w:pPr>
              <w:keepNext w:val="0"/>
              <w:keepLines w:val="0"/>
              <w:pageBreakBefore w:val="0"/>
              <w:widowControl w:val="0"/>
              <w:kinsoku/>
              <w:wordWrap/>
              <w:overflowPunct/>
              <w:topLinePunct w:val="0"/>
              <w:autoSpaceDE/>
              <w:autoSpaceDN/>
              <w:bidi w:val="0"/>
              <w:adjustRightInd/>
              <w:snapToGrid/>
              <w:spacing w:after="0" w:line="360" w:lineRule="auto"/>
              <w:jc w:val="left"/>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Cs w:val="21"/>
              </w:rPr>
              <w:t>组织知识</w:t>
            </w:r>
          </w:p>
        </w:tc>
        <w:tc>
          <w:tcPr>
            <w:tcW w:w="1187" w:type="dxa"/>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Theme="minorEastAsia" w:hAnsiTheme="minorEastAsia" w:eastAsiaTheme="minorEastAsia" w:cstheme="minorEastAsia"/>
                <w:color w:val="auto"/>
                <w:spacing w:val="-6"/>
                <w:kern w:val="2"/>
                <w:sz w:val="21"/>
                <w:szCs w:val="21"/>
                <w:lang w:val="en-US" w:eastAsia="zh-CN" w:bidi="ar-SA"/>
              </w:rPr>
            </w:pPr>
            <w:r>
              <w:rPr>
                <w:rFonts w:hint="default" w:asciiTheme="minorEastAsia" w:hAnsiTheme="minorEastAsia" w:eastAsiaTheme="minorEastAsia" w:cstheme="minorEastAsia"/>
                <w:color w:val="auto"/>
                <w:spacing w:val="-6"/>
                <w:kern w:val="2"/>
                <w:sz w:val="21"/>
                <w:szCs w:val="21"/>
                <w:lang w:val="en-US" w:eastAsia="zh-CN" w:bidi="ar-SA"/>
              </w:rPr>
              <w:t>Q:7.1.6</w:t>
            </w:r>
          </w:p>
        </w:tc>
        <w:tc>
          <w:tcPr>
            <w:tcW w:w="9774" w:type="dxa"/>
            <w:vAlign w:val="top"/>
          </w:tcPr>
          <w:p>
            <w:pPr>
              <w:pStyle w:val="2"/>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ascii="Times New Roman" w:hAnsi="Times New Roman" w:cs="Times New Roman"/>
                <w:color w:val="auto"/>
                <w:szCs w:val="22"/>
                <w:highlight w:val="none"/>
                <w:lang w:val="en-US" w:eastAsia="zh-CN"/>
              </w:rPr>
            </w:pPr>
            <w:r>
              <w:rPr>
                <w:rFonts w:hint="default" w:ascii="Times New Roman" w:hAnsi="Times New Roman" w:cs="Times New Roman"/>
                <w:color w:val="auto"/>
                <w:szCs w:val="22"/>
                <w:highlight w:val="none"/>
                <w:lang w:val="en-US" w:eastAsia="zh-CN"/>
              </w:rPr>
              <w:t>公司各部门按照职责从内外部各种渠道获得与其职责相关所需的知识，包括操作规程、管理技巧与经验、失败和事故的案例分析、科研成果、商标等；把知识形成各种规章制度用于指导公司的日常工作和管理，包括体系文件、支持性文件、各种记录表单。</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ascii="Times New Roman" w:hAnsi="Times New Roman" w:cs="Times New Roman"/>
                <w:color w:val="auto"/>
                <w:szCs w:val="22"/>
                <w:highlight w:val="none"/>
                <w:lang w:val="en-US" w:eastAsia="zh-CN"/>
              </w:rPr>
            </w:pPr>
            <w:r>
              <w:rPr>
                <w:rFonts w:hint="default" w:ascii="Times New Roman" w:hAnsi="Times New Roman" w:cs="Times New Roman"/>
                <w:color w:val="auto"/>
                <w:szCs w:val="22"/>
                <w:highlight w:val="none"/>
                <w:lang w:val="en-US" w:eastAsia="zh-CN"/>
              </w:rPr>
              <w:t>从内部来源获取的有：多年的工作经验、教训、内部的知识产权等；</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ascii="Times New Roman" w:hAnsi="Times New Roman" w:cs="Times New Roman"/>
                <w:color w:val="auto"/>
                <w:szCs w:val="22"/>
                <w:highlight w:val="none"/>
                <w:lang w:val="en-US" w:eastAsia="zh-CN"/>
              </w:rPr>
            </w:pPr>
            <w:r>
              <w:rPr>
                <w:rFonts w:hint="default" w:ascii="Times New Roman" w:hAnsi="Times New Roman" w:cs="Times New Roman"/>
                <w:color w:val="auto"/>
                <w:szCs w:val="22"/>
                <w:highlight w:val="none"/>
                <w:lang w:val="en-US" w:eastAsia="zh-CN"/>
              </w:rPr>
              <w:t>外部来源获取有：标杆对比、行业会议、客户技术要求、咨询老师传授的体系知识及所实施的内审员的培训；顾客方提供的资料等。</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firstLine="420" w:firstLineChars="200"/>
              <w:textAlignment w:val="auto"/>
              <w:rPr>
                <w:rFonts w:hint="default" w:ascii="Times New Roman" w:hAnsi="Times New Roman" w:eastAsia="宋体" w:cs="Times New Roman"/>
                <w:color w:val="auto"/>
                <w:kern w:val="2"/>
                <w:sz w:val="21"/>
                <w:szCs w:val="22"/>
                <w:highlight w:val="none"/>
                <w:lang w:val="en-US" w:eastAsia="zh-CN" w:bidi="ar-SA"/>
              </w:rPr>
            </w:pPr>
            <w:r>
              <w:rPr>
                <w:rFonts w:hint="default" w:ascii="Times New Roman" w:hAnsi="Times New Roman" w:cs="Times New Roman"/>
                <w:color w:val="auto"/>
                <w:szCs w:val="22"/>
                <w:highlight w:val="none"/>
                <w:lang w:val="en-US" w:eastAsia="zh-CN"/>
              </w:rPr>
              <w:t>在应对变化的需求和趋势时，相关部门考虑现有的知识，确定如何获取更多的必要的额外知识，并根据变化的情况及时更新。</w:t>
            </w:r>
          </w:p>
        </w:tc>
        <w:tc>
          <w:tcPr>
            <w:tcW w:w="1585" w:type="dxa"/>
          </w:tcPr>
          <w:p>
            <w:pPr>
              <w:keepNext w:val="0"/>
              <w:keepLines w:val="0"/>
              <w:pageBreakBefore w:val="0"/>
              <w:widowControl w:val="0"/>
              <w:kinsoku/>
              <w:wordWrap/>
              <w:overflowPunct/>
              <w:topLinePunct w:val="0"/>
              <w:autoSpaceDE/>
              <w:autoSpaceDN/>
              <w:bidi w:val="0"/>
              <w:spacing w:after="0" w:line="360" w:lineRule="auto"/>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3" w:type="dxa"/>
            <w:vAlign w:val="top"/>
          </w:tcPr>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default" w:ascii="Times New Roman" w:hAnsi="Times New Roman" w:eastAsia="宋体" w:cs="Times New Roman"/>
                <w:color w:val="auto"/>
                <w:kern w:val="2"/>
                <w:sz w:val="21"/>
                <w:lang w:val="en-US" w:eastAsia="zh-CN" w:bidi="ar-SA"/>
              </w:rPr>
            </w:pPr>
            <w:r>
              <w:rPr>
                <w:rFonts w:hint="default" w:ascii="Times New Roman" w:hAnsi="Times New Roman" w:cs="Times New Roman"/>
                <w:color w:val="auto"/>
                <w:lang w:val="en-US" w:eastAsia="zh-CN"/>
              </w:rPr>
              <w:t>成文信息</w:t>
            </w:r>
          </w:p>
        </w:tc>
        <w:tc>
          <w:tcPr>
            <w:tcW w:w="1187" w:type="dxa"/>
            <w:vAlign w:val="top"/>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Theme="minorEastAsia" w:hAnsiTheme="minorEastAsia" w:eastAsiaTheme="minorEastAsia" w:cstheme="minorEastAsia"/>
                <w:color w:val="auto"/>
                <w:spacing w:val="-6"/>
                <w:kern w:val="2"/>
                <w:sz w:val="21"/>
                <w:szCs w:val="21"/>
                <w:lang w:val="en-US" w:eastAsia="zh-CN" w:bidi="ar-SA"/>
              </w:rPr>
            </w:pPr>
            <w:r>
              <w:rPr>
                <w:rFonts w:hint="eastAsia" w:asciiTheme="minorEastAsia" w:hAnsiTheme="minorEastAsia" w:eastAsiaTheme="minorEastAsia" w:cstheme="minorEastAsia"/>
                <w:color w:val="auto"/>
                <w:spacing w:val="-6"/>
                <w:kern w:val="2"/>
                <w:sz w:val="21"/>
                <w:szCs w:val="21"/>
                <w:lang w:val="en-US" w:eastAsia="zh-CN" w:bidi="ar-SA"/>
              </w:rPr>
              <w:t>QEO</w:t>
            </w:r>
            <w:r>
              <w:rPr>
                <w:rFonts w:hint="default" w:asciiTheme="minorEastAsia" w:hAnsiTheme="minorEastAsia" w:eastAsiaTheme="minorEastAsia" w:cstheme="minorEastAsia"/>
                <w:color w:val="auto"/>
                <w:spacing w:val="-6"/>
                <w:kern w:val="2"/>
                <w:sz w:val="21"/>
                <w:szCs w:val="21"/>
                <w:lang w:val="en-US" w:eastAsia="zh-CN" w:bidi="ar-SA"/>
              </w:rPr>
              <w:t>:7.5</w:t>
            </w:r>
          </w:p>
        </w:tc>
        <w:tc>
          <w:tcPr>
            <w:tcW w:w="9774" w:type="dxa"/>
            <w:vAlign w:val="top"/>
          </w:tcPr>
          <w:p>
            <w:pPr>
              <w:pStyle w:val="2"/>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ascii="Times New Roman" w:hAnsi="Times New Roman" w:cs="Times New Roman"/>
                <w:color w:val="auto"/>
                <w:szCs w:val="22"/>
                <w:highlight w:val="none"/>
                <w:lang w:val="en-US" w:eastAsia="zh-CN"/>
              </w:rPr>
            </w:pPr>
            <w:r>
              <w:rPr>
                <w:rFonts w:hint="default" w:ascii="Times New Roman" w:hAnsi="Times New Roman" w:cs="Times New Roman"/>
                <w:color w:val="auto"/>
                <w:szCs w:val="22"/>
                <w:highlight w:val="none"/>
                <w:lang w:val="en-US" w:eastAsia="zh-CN"/>
              </w:rPr>
              <w:t>策划了公司的管理体系文件，包括：</w:t>
            </w:r>
          </w:p>
          <w:p>
            <w:pPr>
              <w:keepNext w:val="0"/>
              <w:keepLines w:val="0"/>
              <w:pageBreakBefore w:val="0"/>
              <w:widowControl w:val="0"/>
              <w:kinsoku/>
              <w:wordWrap/>
              <w:overflowPunct/>
              <w:topLinePunct w:val="0"/>
              <w:autoSpaceDE/>
              <w:autoSpaceDN/>
              <w:bidi w:val="0"/>
              <w:spacing w:after="0" w:line="360" w:lineRule="auto"/>
              <w:ind w:firstLine="420" w:firstLineChars="200"/>
              <w:rPr>
                <w:rFonts w:hint="eastAsia" w:eastAsia="宋体"/>
                <w:color w:val="auto"/>
                <w:highlight w:val="none"/>
                <w:lang w:eastAsia="zh-CN"/>
              </w:rPr>
            </w:pPr>
            <w:r>
              <w:rPr>
                <w:rFonts w:hint="eastAsia"/>
                <w:color w:val="auto"/>
                <w:highlight w:val="none"/>
                <w:lang w:val="en-US" w:eastAsia="zh-CN"/>
              </w:rPr>
              <w:t>管理手册——A/0，</w:t>
            </w:r>
            <w:r>
              <w:rPr>
                <w:rFonts w:hint="eastAsia"/>
                <w:color w:val="auto"/>
                <w:highlight w:val="none"/>
              </w:rPr>
              <w:t>2021年04月01日</w:t>
            </w:r>
            <w:r>
              <w:rPr>
                <w:rFonts w:hint="eastAsia"/>
                <w:color w:val="auto"/>
                <w:highlight w:val="none"/>
                <w:lang w:eastAsia="zh-CN"/>
              </w:rPr>
              <w:t>；</w:t>
            </w:r>
          </w:p>
          <w:p>
            <w:pPr>
              <w:keepNext w:val="0"/>
              <w:keepLines w:val="0"/>
              <w:pageBreakBefore w:val="0"/>
              <w:widowControl w:val="0"/>
              <w:kinsoku/>
              <w:wordWrap/>
              <w:overflowPunct/>
              <w:topLinePunct w:val="0"/>
              <w:autoSpaceDE/>
              <w:autoSpaceDN/>
              <w:bidi w:val="0"/>
              <w:spacing w:after="0" w:line="360" w:lineRule="auto"/>
              <w:ind w:firstLine="420" w:firstLineChars="200"/>
              <w:rPr>
                <w:rFonts w:hint="eastAsia"/>
                <w:highlight w:val="none"/>
                <w:lang w:val="en-US" w:eastAsia="zh-CN"/>
              </w:rPr>
            </w:pPr>
            <w:r>
              <w:rPr>
                <w:rFonts w:hint="eastAsia"/>
                <w:highlight w:val="none"/>
                <w:lang w:val="en-US" w:eastAsia="zh-CN"/>
              </w:rPr>
              <w:t>程序文件——A/0，</w:t>
            </w:r>
            <w:r>
              <w:rPr>
                <w:rFonts w:hint="eastAsia"/>
                <w:highlight w:val="none"/>
              </w:rPr>
              <w:t>2021年04月01日</w:t>
            </w:r>
            <w:r>
              <w:rPr>
                <w:rFonts w:hint="eastAsia"/>
                <w:highlight w:val="none"/>
                <w:lang w:val="en-US" w:eastAsia="zh-CN"/>
              </w:rPr>
              <w:t>；风险和机遇的应对控制程序、顾客满意度控制程序、采购控制程序、销售和服务管理控制程序、环境因素和危险源识别评价与控制程序、环境和职业健康安全法律法规控制程序、运行控制程序、应急准备和响应控制程序、监视和测量控制程序、不符合/纠正和预防措施控制程序等；</w:t>
            </w:r>
          </w:p>
          <w:p>
            <w:pPr>
              <w:keepNext w:val="0"/>
              <w:keepLines w:val="0"/>
              <w:pageBreakBefore w:val="0"/>
              <w:widowControl w:val="0"/>
              <w:kinsoku/>
              <w:wordWrap/>
              <w:overflowPunct/>
              <w:topLinePunct w:val="0"/>
              <w:autoSpaceDE/>
              <w:autoSpaceDN/>
              <w:bidi w:val="0"/>
              <w:spacing w:after="0" w:line="360" w:lineRule="auto"/>
              <w:ind w:firstLine="420" w:firstLineChars="200"/>
              <w:rPr>
                <w:rFonts w:hint="default" w:ascii="Times New Roman" w:hAnsi="Times New Roman" w:eastAsia="宋体" w:cs="Times New Roman"/>
                <w:b w:val="0"/>
                <w:kern w:val="2"/>
                <w:sz w:val="21"/>
                <w:szCs w:val="22"/>
                <w:highlight w:val="none"/>
                <w:lang w:val="en-US" w:eastAsia="zh-CN" w:bidi="ar-SA"/>
              </w:rPr>
            </w:pPr>
            <w:r>
              <w:rPr>
                <w:rFonts w:hint="eastAsia"/>
                <w:highlight w:val="none"/>
                <w:lang w:val="en-US" w:eastAsia="zh-CN"/>
              </w:rPr>
              <w:t>管理文件——工序作业指导书、台式钻床作业指导书、环境作业指导书文件、职业安全健康管理体系作业指导书、产品检验规程等；</w:t>
            </w:r>
          </w:p>
          <w:p>
            <w:pPr>
              <w:keepNext w:val="0"/>
              <w:keepLines w:val="0"/>
              <w:pageBreakBefore w:val="0"/>
              <w:widowControl w:val="0"/>
              <w:kinsoku/>
              <w:wordWrap/>
              <w:overflowPunct/>
              <w:topLinePunct w:val="0"/>
              <w:autoSpaceDE/>
              <w:autoSpaceDN/>
              <w:bidi w:val="0"/>
              <w:spacing w:after="0" w:line="360" w:lineRule="auto"/>
              <w:ind w:firstLine="420" w:firstLineChars="200"/>
              <w:rPr>
                <w:rFonts w:hint="default"/>
                <w:highlight w:val="none"/>
                <w:lang w:val="en-US" w:eastAsia="zh-CN"/>
              </w:rPr>
            </w:pPr>
            <w:r>
              <w:rPr>
                <w:rFonts w:hint="eastAsia"/>
                <w:highlight w:val="none"/>
                <w:lang w:val="en-US" w:eastAsia="zh-CN"/>
              </w:rPr>
              <w:t>建立有外来文件清单，收集相关标准和法律等；</w:t>
            </w:r>
          </w:p>
          <w:p>
            <w:pPr>
              <w:keepNext w:val="0"/>
              <w:keepLines w:val="0"/>
              <w:pageBreakBefore w:val="0"/>
              <w:widowControl w:val="0"/>
              <w:kinsoku/>
              <w:wordWrap/>
              <w:overflowPunct/>
              <w:topLinePunct w:val="0"/>
              <w:autoSpaceDE/>
              <w:autoSpaceDN/>
              <w:bidi w:val="0"/>
              <w:spacing w:after="0" w:line="360" w:lineRule="auto"/>
              <w:ind w:firstLine="420" w:firstLineChars="200"/>
              <w:rPr>
                <w:rFonts w:hint="eastAsia"/>
                <w:highlight w:val="none"/>
                <w:lang w:val="en-US" w:eastAsia="zh-CN"/>
              </w:rPr>
            </w:pPr>
            <w:r>
              <w:rPr>
                <w:rFonts w:hint="eastAsia"/>
                <w:highlight w:val="none"/>
                <w:lang w:val="en-US" w:eastAsia="zh-CN"/>
              </w:rPr>
              <w:t>建立适用的法律法规和其他要求一览表，收集法律法规、标准、规范等共109个；</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ascii="Times New Roman" w:hAnsi="Times New Roman" w:cs="Times New Roman"/>
                <w:color w:val="auto"/>
                <w:szCs w:val="22"/>
                <w:highlight w:val="none"/>
                <w:lang w:val="en-US" w:eastAsia="zh-CN"/>
              </w:rPr>
            </w:pPr>
            <w:r>
              <w:rPr>
                <w:rFonts w:hint="default" w:ascii="Times New Roman" w:hAnsi="Times New Roman" w:cs="Times New Roman"/>
                <w:color w:val="auto"/>
                <w:szCs w:val="22"/>
                <w:highlight w:val="none"/>
                <w:lang w:val="en-US" w:eastAsia="zh-CN"/>
              </w:rPr>
              <w:t>文件化管理体系目前基本满足要求。</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ascii="Times New Roman" w:hAnsi="Times New Roman" w:cs="Times New Roman"/>
                <w:color w:val="auto"/>
                <w:szCs w:val="22"/>
                <w:highlight w:val="none"/>
                <w:lang w:val="en-US" w:eastAsia="zh-CN"/>
              </w:rPr>
            </w:pPr>
            <w:r>
              <w:rPr>
                <w:rFonts w:hint="default" w:ascii="Times New Roman" w:hAnsi="Times New Roman" w:cs="Times New Roman"/>
                <w:color w:val="auto"/>
                <w:szCs w:val="22"/>
                <w:highlight w:val="none"/>
                <w:lang w:val="en-US" w:eastAsia="zh-CN"/>
              </w:rPr>
              <w:t>——在编制体系文件时，对文件进行标识，主要有文件名称/编制部门/批准日期/文件编号等，经查管理手册/程序文件基本符合标准要求。</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ascii="Times New Roman" w:hAnsi="Times New Roman" w:cs="Times New Roman"/>
                <w:color w:val="auto"/>
                <w:szCs w:val="22"/>
                <w:highlight w:val="none"/>
                <w:lang w:val="en-US" w:eastAsia="zh-CN"/>
              </w:rPr>
            </w:pPr>
            <w:r>
              <w:rPr>
                <w:rFonts w:hint="default" w:ascii="Times New Roman" w:hAnsi="Times New Roman" w:cs="Times New Roman"/>
                <w:color w:val="auto"/>
                <w:szCs w:val="22"/>
                <w:highlight w:val="none"/>
                <w:lang w:val="en-US" w:eastAsia="zh-CN"/>
              </w:rPr>
              <w:t>管理体系文件经过总经理审批实施发布，经评审，目前文件和目录均适用。符合要求。</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ascii="Times New Roman" w:hAnsi="Times New Roman" w:cs="Times New Roman"/>
                <w:color w:val="auto"/>
                <w:szCs w:val="22"/>
                <w:highlight w:val="none"/>
                <w:lang w:val="en-US" w:eastAsia="zh-CN"/>
              </w:rPr>
            </w:pPr>
            <w:r>
              <w:rPr>
                <w:rFonts w:hint="default" w:ascii="Times New Roman" w:hAnsi="Times New Roman" w:cs="Times New Roman"/>
                <w:color w:val="auto"/>
                <w:szCs w:val="22"/>
                <w:highlight w:val="none"/>
                <w:lang w:val="en-US" w:eastAsia="zh-CN"/>
              </w:rPr>
              <w:t>——编制《文件控制程序》，内容符合基本标准要求。</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ascii="Times New Roman" w:hAnsi="Times New Roman" w:cs="Times New Roman"/>
                <w:color w:val="auto"/>
                <w:szCs w:val="22"/>
                <w:highlight w:val="none"/>
                <w:lang w:val="en-US" w:eastAsia="zh-CN"/>
              </w:rPr>
            </w:pPr>
            <w:r>
              <w:rPr>
                <w:rFonts w:hint="default" w:ascii="Times New Roman" w:hAnsi="Times New Roman" w:cs="Times New Roman"/>
                <w:color w:val="auto"/>
                <w:szCs w:val="22"/>
                <w:highlight w:val="none"/>
                <w:lang w:val="en-US" w:eastAsia="zh-CN"/>
              </w:rPr>
              <w:t>抽查：受控文件清单、管理评审计划、培训计划、环境因素、职业健康安全危险源识别与评价表等，其成文信息标识清晰，填写基本齐全、清晰，成文信息在文件柜中分类编目保存，成文信息的贮存和保护符合要求，检索方便。</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ascii="Times New Roman" w:hAnsi="Times New Roman" w:cs="Times New Roman"/>
                <w:color w:val="auto"/>
                <w:szCs w:val="22"/>
                <w:highlight w:val="none"/>
                <w:lang w:val="en-US" w:eastAsia="zh-CN"/>
              </w:rPr>
            </w:pPr>
            <w:r>
              <w:rPr>
                <w:rFonts w:hint="default" w:ascii="Times New Roman" w:hAnsi="Times New Roman" w:cs="Times New Roman"/>
                <w:color w:val="auto"/>
                <w:szCs w:val="22"/>
                <w:highlight w:val="none"/>
                <w:lang w:val="en-US" w:eastAsia="zh-CN"/>
              </w:rPr>
              <w:t>成文信息由各部门负责保存，以便查阅。</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firstLine="420" w:firstLineChars="200"/>
              <w:textAlignment w:val="auto"/>
              <w:rPr>
                <w:rFonts w:hint="default" w:ascii="Times New Roman" w:hAnsi="Times New Roman" w:eastAsia="宋体" w:cs="Times New Roman"/>
                <w:color w:val="auto"/>
                <w:kern w:val="2"/>
                <w:sz w:val="21"/>
                <w:szCs w:val="22"/>
                <w:highlight w:val="none"/>
                <w:lang w:val="en-US" w:eastAsia="zh-CN" w:bidi="ar-SA"/>
              </w:rPr>
            </w:pPr>
            <w:r>
              <w:rPr>
                <w:rFonts w:hint="default" w:ascii="Times New Roman" w:hAnsi="Times New Roman" w:cs="Times New Roman"/>
                <w:color w:val="auto"/>
                <w:szCs w:val="22"/>
                <w:highlight w:val="none"/>
                <w:lang w:val="en-US" w:eastAsia="zh-CN"/>
              </w:rPr>
              <w:t>经查，基本符合标准要求。</w:t>
            </w:r>
          </w:p>
        </w:tc>
        <w:tc>
          <w:tcPr>
            <w:tcW w:w="1585" w:type="dxa"/>
            <w:vAlign w:val="top"/>
          </w:tcPr>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default" w:ascii="Times New Roman" w:hAnsi="Times New Roman" w:eastAsia="宋体" w:cs="Times New Roman"/>
                <w:color w:val="0000FF"/>
                <w:kern w:val="2"/>
                <w:sz w:val="21"/>
                <w:lang w:val="en-US" w:eastAsia="zh-CN" w:bidi="ar-SA"/>
              </w:rPr>
            </w:pPr>
            <w:r>
              <w:rPr>
                <w:rFonts w:hint="default" w:ascii="Times New Roman" w:hAnsi="Times New Roman" w:cs="Times New Roman"/>
                <w:color w:val="auto"/>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3" w:type="dxa"/>
            <w:vAlign w:val="top"/>
          </w:tcPr>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运行策划和控制</w:t>
            </w:r>
          </w:p>
        </w:tc>
        <w:tc>
          <w:tcPr>
            <w:tcW w:w="1187" w:type="dxa"/>
            <w:vAlign w:val="top"/>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cs="Times New Roman"/>
                <w:color w:val="auto"/>
                <w:spacing w:val="-6"/>
                <w:sz w:val="21"/>
                <w:szCs w:val="21"/>
                <w:lang w:val="en-US" w:eastAsia="zh-CN"/>
              </w:rPr>
            </w:pPr>
            <w:r>
              <w:rPr>
                <w:rFonts w:hint="eastAsia" w:asciiTheme="minorEastAsia" w:hAnsiTheme="minorEastAsia" w:eastAsiaTheme="minorEastAsia" w:cstheme="minorEastAsia"/>
                <w:color w:val="auto"/>
                <w:spacing w:val="-6"/>
                <w:kern w:val="2"/>
                <w:sz w:val="21"/>
                <w:szCs w:val="21"/>
                <w:lang w:val="en-US" w:eastAsia="zh-CN" w:bidi="ar-SA"/>
              </w:rPr>
              <w:t>QEO:8.1</w:t>
            </w:r>
          </w:p>
        </w:tc>
        <w:tc>
          <w:tcPr>
            <w:tcW w:w="9774" w:type="dxa"/>
            <w:vAlign w:val="top"/>
          </w:tcPr>
          <w:p>
            <w:pPr>
              <w:pStyle w:val="2"/>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eastAsia" w:cs="Times New Roman"/>
                <w:color w:val="auto"/>
                <w:szCs w:val="22"/>
                <w:highlight w:val="none"/>
                <w:lang w:val="en-US" w:eastAsia="zh-CN"/>
              </w:rPr>
            </w:pPr>
            <w:r>
              <w:rPr>
                <w:rFonts w:hint="eastAsia" w:cs="Times New Roman"/>
                <w:color w:val="auto"/>
                <w:szCs w:val="22"/>
                <w:highlight w:val="none"/>
                <w:lang w:val="en-US" w:eastAsia="zh-CN"/>
              </w:rPr>
              <w:t>公司依据ISO9001：2015、ISO14001：2015、ISO45001：2018标准的要求并结合本公司的具体情况，采取PDCA的过程方法，建立、实施、保持并持续改进质量、环境、职业健康安全管理体系。</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cs="Times New Roman"/>
                <w:color w:val="auto"/>
                <w:szCs w:val="22"/>
                <w:highlight w:val="none"/>
                <w:lang w:val="en-US" w:eastAsia="zh-CN"/>
              </w:rPr>
            </w:pPr>
            <w:r>
              <w:rPr>
                <w:rFonts w:hint="eastAsia" w:cs="Times New Roman"/>
                <w:color w:val="auto"/>
                <w:szCs w:val="22"/>
                <w:highlight w:val="none"/>
                <w:lang w:val="en-US" w:eastAsia="zh-CN"/>
              </w:rPr>
              <w:t>在管理文件中：</w:t>
            </w:r>
            <w:r>
              <w:rPr>
                <w:rFonts w:hint="default" w:cs="Times New Roman"/>
                <w:color w:val="auto"/>
                <w:szCs w:val="22"/>
                <w:highlight w:val="none"/>
                <w:lang w:val="en-US" w:eastAsia="zh-CN"/>
              </w:rPr>
              <w:t>确定</w:t>
            </w:r>
            <w:r>
              <w:rPr>
                <w:rFonts w:hint="eastAsia" w:cs="Times New Roman"/>
                <w:color w:val="auto"/>
                <w:szCs w:val="22"/>
                <w:highlight w:val="none"/>
                <w:lang w:val="en-US" w:eastAsia="zh-CN"/>
              </w:rPr>
              <w:t>了</w:t>
            </w:r>
            <w:r>
              <w:rPr>
                <w:rFonts w:hint="default" w:cs="Times New Roman"/>
                <w:color w:val="auto"/>
                <w:szCs w:val="22"/>
                <w:highlight w:val="none"/>
                <w:lang w:val="en-US" w:eastAsia="zh-CN"/>
              </w:rPr>
              <w:t>产品和服务的要求，包括产品标准、服务质量标准等；建立</w:t>
            </w:r>
            <w:r>
              <w:rPr>
                <w:rFonts w:hint="eastAsia" w:cs="Times New Roman"/>
                <w:color w:val="auto"/>
                <w:szCs w:val="22"/>
                <w:highlight w:val="none"/>
                <w:lang w:val="en-US" w:eastAsia="zh-CN"/>
              </w:rPr>
              <w:t>了</w:t>
            </w:r>
            <w:r>
              <w:rPr>
                <w:rFonts w:hint="default" w:cs="Times New Roman"/>
                <w:color w:val="auto"/>
                <w:szCs w:val="22"/>
                <w:highlight w:val="none"/>
                <w:lang w:val="en-US" w:eastAsia="zh-CN"/>
              </w:rPr>
              <w:t>过程运行规范，产品和服务的验证标准</w:t>
            </w:r>
            <w:r>
              <w:rPr>
                <w:rFonts w:hint="eastAsia" w:cs="Times New Roman"/>
                <w:color w:val="auto"/>
                <w:szCs w:val="22"/>
                <w:highlight w:val="none"/>
                <w:lang w:val="en-US" w:eastAsia="zh-CN"/>
              </w:rPr>
              <w:t>；策划了资源的配置、运行的成文信息等。</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ascii="Times New Roman" w:hAnsi="Times New Roman" w:cs="Times New Roman"/>
                <w:color w:val="auto"/>
                <w:szCs w:val="22"/>
                <w:highlight w:val="none"/>
                <w:lang w:val="en-US" w:eastAsia="zh-CN"/>
              </w:rPr>
            </w:pPr>
            <w:r>
              <w:rPr>
                <w:rFonts w:hint="default" w:ascii="Times New Roman" w:hAnsi="Times New Roman" w:cs="Times New Roman"/>
                <w:color w:val="auto"/>
                <w:szCs w:val="22"/>
                <w:highlight w:val="none"/>
                <w:lang w:val="en-US" w:eastAsia="zh-CN"/>
              </w:rPr>
              <w:t>公司策划了</w:t>
            </w:r>
            <w:r>
              <w:rPr>
                <w:rFonts w:hint="eastAsia" w:cs="Times New Roman"/>
                <w:color w:val="auto"/>
                <w:szCs w:val="22"/>
                <w:highlight w:val="none"/>
                <w:lang w:val="en-US" w:eastAsia="zh-CN"/>
              </w:rPr>
              <w:t>质量、环境、职业健康</w:t>
            </w:r>
            <w:r>
              <w:rPr>
                <w:rFonts w:hint="default" w:ascii="Times New Roman" w:hAnsi="Times New Roman" w:cs="Times New Roman"/>
                <w:color w:val="auto"/>
                <w:szCs w:val="22"/>
                <w:highlight w:val="none"/>
                <w:lang w:val="en-US" w:eastAsia="zh-CN"/>
              </w:rPr>
              <w:t>安全管理相关程序文件和管理制度：运行控制程序、消防控制程序、资源能源控制程序、应急准备和响应控制程序等；</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ascii="Times New Roman" w:hAnsi="Times New Roman" w:cs="Times New Roman"/>
                <w:color w:val="auto"/>
                <w:szCs w:val="22"/>
                <w:highlight w:val="none"/>
                <w:lang w:val="en-US" w:eastAsia="zh-CN"/>
              </w:rPr>
            </w:pPr>
            <w:r>
              <w:rPr>
                <w:rFonts w:hint="eastAsia" w:cs="Times New Roman"/>
                <w:color w:val="auto"/>
                <w:szCs w:val="22"/>
                <w:highlight w:val="none"/>
                <w:lang w:val="en-US" w:eastAsia="zh-CN"/>
              </w:rPr>
              <w:t>公司成立了安全领导小组，明确了安全管理职责；</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ascii="Times New Roman" w:hAnsi="Times New Roman" w:cs="Times New Roman"/>
                <w:color w:val="auto"/>
                <w:szCs w:val="22"/>
                <w:highlight w:val="none"/>
                <w:lang w:val="en-US" w:eastAsia="zh-CN"/>
              </w:rPr>
            </w:pPr>
            <w:r>
              <w:rPr>
                <w:rFonts w:hint="default" w:ascii="Times New Roman" w:hAnsi="Times New Roman" w:cs="Times New Roman"/>
                <w:color w:val="auto"/>
                <w:szCs w:val="22"/>
                <w:highlight w:val="none"/>
                <w:lang w:val="en-US" w:eastAsia="zh-CN"/>
              </w:rPr>
              <w:t>现场观察：</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eastAsia" w:ascii="宋体" w:hAnsi="宋体" w:cs="Arial"/>
                <w:spacing w:val="-6"/>
                <w:sz w:val="21"/>
                <w:szCs w:val="21"/>
                <w:highlight w:val="none"/>
                <w:lang w:val="en-US" w:eastAsia="zh-CN"/>
              </w:rPr>
            </w:pPr>
            <w:r>
              <w:rPr>
                <w:rFonts w:hint="eastAsia" w:ascii="宋体" w:hAnsi="宋体" w:eastAsia="宋体" w:cs="Arial"/>
                <w:spacing w:val="-6"/>
                <w:sz w:val="21"/>
                <w:szCs w:val="21"/>
                <w:highlight w:val="none"/>
                <w:lang w:val="en-US" w:eastAsia="zh-CN"/>
              </w:rPr>
              <w:t>办公</w:t>
            </w:r>
            <w:r>
              <w:rPr>
                <w:rFonts w:hint="eastAsia" w:ascii="宋体" w:hAnsi="宋体" w:cs="Arial"/>
                <w:spacing w:val="-6"/>
                <w:sz w:val="21"/>
                <w:szCs w:val="21"/>
                <w:highlight w:val="none"/>
                <w:lang w:val="en-US" w:eastAsia="zh-CN"/>
              </w:rPr>
              <w:t>及实验检验场所</w:t>
            </w:r>
            <w:r>
              <w:rPr>
                <w:rFonts w:hint="eastAsia" w:ascii="宋体" w:hAnsi="宋体" w:eastAsia="宋体" w:cs="Arial"/>
                <w:spacing w:val="-6"/>
                <w:sz w:val="21"/>
                <w:szCs w:val="21"/>
                <w:highlight w:val="none"/>
                <w:lang w:val="en-US" w:eastAsia="zh-CN"/>
              </w:rPr>
              <w:t>面积大约</w:t>
            </w:r>
            <w:r>
              <w:rPr>
                <w:rFonts w:hint="eastAsia" w:ascii="宋体" w:hAnsi="宋体" w:cs="Arial"/>
                <w:spacing w:val="-6"/>
                <w:sz w:val="21"/>
                <w:szCs w:val="21"/>
                <w:highlight w:val="none"/>
                <w:lang w:val="en-US" w:eastAsia="zh-CN"/>
              </w:rPr>
              <w:t>120</w:t>
            </w:r>
            <w:r>
              <w:rPr>
                <w:rFonts w:hint="eastAsia" w:ascii="宋体" w:hAnsi="宋体" w:eastAsia="宋体" w:cs="Arial"/>
                <w:spacing w:val="-6"/>
                <w:sz w:val="21"/>
                <w:szCs w:val="21"/>
                <w:highlight w:val="none"/>
                <w:lang w:val="en-US" w:eastAsia="zh-CN"/>
              </w:rPr>
              <w:t>0平方米，工作场所布局合理，</w:t>
            </w:r>
            <w:r>
              <w:rPr>
                <w:rFonts w:hint="eastAsia" w:ascii="宋体" w:hAnsi="宋体" w:cs="Arial"/>
                <w:spacing w:val="-6"/>
                <w:sz w:val="21"/>
                <w:szCs w:val="21"/>
                <w:highlight w:val="none"/>
                <w:lang w:val="en-US" w:eastAsia="zh-CN"/>
              </w:rPr>
              <w:t>设置有样品间、留样间、实验室、理化分析室、危废储存间等，</w:t>
            </w:r>
            <w:r>
              <w:rPr>
                <w:rFonts w:hint="eastAsia" w:ascii="宋体" w:hAnsi="宋体" w:eastAsia="宋体" w:cs="Arial"/>
                <w:spacing w:val="-6"/>
                <w:sz w:val="21"/>
                <w:szCs w:val="21"/>
                <w:highlight w:val="none"/>
                <w:lang w:val="en-US" w:eastAsia="zh-CN"/>
              </w:rPr>
              <w:t>座椅和办公桌符合人体工程学要求，员工有自我防护意识，工间能适当走动、休息；坐姿正确，避免过度疲劳；电脑显示器调整到保护视力的颜色；配置有适量的绿植，</w:t>
            </w:r>
            <w:r>
              <w:rPr>
                <w:rFonts w:hint="eastAsia" w:ascii="宋体" w:hAnsi="宋体" w:cs="Arial"/>
                <w:spacing w:val="-6"/>
                <w:sz w:val="21"/>
                <w:szCs w:val="21"/>
                <w:highlight w:val="none"/>
                <w:lang w:val="en-US" w:eastAsia="zh-CN"/>
              </w:rPr>
              <w:t>采光、</w:t>
            </w:r>
            <w:r>
              <w:rPr>
                <w:rFonts w:hint="eastAsia" w:ascii="宋体" w:hAnsi="宋体" w:eastAsia="宋体" w:cs="Arial"/>
                <w:spacing w:val="-6"/>
                <w:sz w:val="21"/>
                <w:szCs w:val="21"/>
                <w:highlight w:val="none"/>
                <w:lang w:val="en-US" w:eastAsia="zh-CN"/>
              </w:rPr>
              <w:t>通风良好，办公场所物品摆放有序</w:t>
            </w:r>
            <w:r>
              <w:rPr>
                <w:rFonts w:hint="eastAsia" w:ascii="宋体" w:hAnsi="宋体" w:cs="Arial"/>
                <w:spacing w:val="-6"/>
                <w:sz w:val="21"/>
                <w:szCs w:val="21"/>
                <w:highlight w:val="none"/>
                <w:lang w:val="en-US" w:eastAsia="zh-CN"/>
              </w:rPr>
              <w:t>，</w:t>
            </w:r>
            <w:r>
              <w:rPr>
                <w:rFonts w:hint="eastAsia" w:ascii="宋体" w:hAnsi="宋体" w:eastAsia="宋体" w:cs="Arial"/>
                <w:spacing w:val="-6"/>
                <w:sz w:val="21"/>
                <w:szCs w:val="21"/>
                <w:highlight w:val="none"/>
                <w:lang w:val="en-US" w:eastAsia="zh-CN"/>
              </w:rPr>
              <w:t>满足办公需求</w:t>
            </w:r>
            <w:r>
              <w:rPr>
                <w:rFonts w:hint="eastAsia" w:ascii="宋体" w:hAnsi="宋体" w:cs="Arial"/>
                <w:spacing w:val="-6"/>
                <w:sz w:val="21"/>
                <w:szCs w:val="21"/>
                <w:highlight w:val="none"/>
                <w:lang w:val="en-US" w:eastAsia="zh-CN"/>
              </w:rPr>
              <w:t>；</w:t>
            </w:r>
          </w:p>
          <w:p>
            <w:pPr>
              <w:pStyle w:val="2"/>
              <w:keepNext w:val="0"/>
              <w:keepLines w:val="0"/>
              <w:pageBreakBefore w:val="0"/>
              <w:widowControl w:val="0"/>
              <w:kinsoku/>
              <w:wordWrap/>
              <w:overflowPunct/>
              <w:topLinePunct w:val="0"/>
              <w:autoSpaceDE/>
              <w:autoSpaceDN/>
              <w:bidi w:val="0"/>
              <w:spacing w:after="0" w:afterLines="0" w:line="360" w:lineRule="auto"/>
              <w:rPr>
                <w:rFonts w:hint="default"/>
                <w:lang w:val="en-US" w:eastAsia="zh-CN"/>
              </w:rPr>
            </w:pPr>
            <w:r>
              <w:rPr>
                <w:rFonts w:hint="default"/>
                <w:lang w:val="en-US" w:eastAsia="zh-CN"/>
              </w:rPr>
              <w:t>节约用水用电、纸张双面使用；</w:t>
            </w:r>
          </w:p>
          <w:p>
            <w:pPr>
              <w:pStyle w:val="2"/>
              <w:keepNext w:val="0"/>
              <w:keepLines w:val="0"/>
              <w:pageBreakBefore w:val="0"/>
              <w:widowControl w:val="0"/>
              <w:kinsoku/>
              <w:wordWrap/>
              <w:overflowPunct/>
              <w:topLinePunct w:val="0"/>
              <w:autoSpaceDE/>
              <w:autoSpaceDN/>
              <w:bidi w:val="0"/>
              <w:spacing w:after="0" w:afterLines="0" w:line="360" w:lineRule="auto"/>
              <w:rPr>
                <w:rFonts w:hint="default"/>
                <w:lang w:val="en-US" w:eastAsia="zh-CN"/>
              </w:rPr>
            </w:pPr>
            <w:r>
              <w:rPr>
                <w:rFonts w:hint="default"/>
                <w:lang w:val="en-US" w:eastAsia="zh-CN"/>
              </w:rPr>
              <w:t>办公场所生活废水经市政管网排放、</w:t>
            </w:r>
            <w:r>
              <w:rPr>
                <w:rFonts w:hint="eastAsia"/>
                <w:lang w:val="en-US" w:eastAsia="zh-CN"/>
              </w:rPr>
              <w:t>实验室</w:t>
            </w:r>
            <w:r>
              <w:rPr>
                <w:rFonts w:hint="default"/>
                <w:lang w:val="en-US" w:eastAsia="zh-CN"/>
              </w:rPr>
              <w:t>废水</w:t>
            </w:r>
            <w:r>
              <w:rPr>
                <w:rFonts w:hint="eastAsia"/>
                <w:lang w:val="en-US" w:eastAsia="zh-CN"/>
              </w:rPr>
              <w:t>收集后集中处理。</w:t>
            </w:r>
          </w:p>
          <w:p>
            <w:pPr>
              <w:pStyle w:val="2"/>
              <w:keepNext w:val="0"/>
              <w:keepLines w:val="0"/>
              <w:pageBreakBefore w:val="0"/>
              <w:widowControl w:val="0"/>
              <w:kinsoku/>
              <w:wordWrap/>
              <w:overflowPunct/>
              <w:topLinePunct w:val="0"/>
              <w:autoSpaceDE/>
              <w:autoSpaceDN/>
              <w:bidi w:val="0"/>
              <w:spacing w:after="0" w:afterLines="0" w:line="360" w:lineRule="auto"/>
              <w:rPr>
                <w:rFonts w:hint="default"/>
                <w:lang w:val="en-US" w:eastAsia="zh-CN"/>
              </w:rPr>
            </w:pPr>
            <w:r>
              <w:rPr>
                <w:rFonts w:hint="default"/>
                <w:lang w:val="en-US" w:eastAsia="zh-CN"/>
              </w:rPr>
              <w:t>办公环境安静，无明显噪声</w:t>
            </w:r>
            <w:r>
              <w:rPr>
                <w:rFonts w:hint="eastAsia"/>
                <w:lang w:val="en-US" w:eastAsia="zh-CN"/>
              </w:rPr>
              <w:t>和</w:t>
            </w:r>
            <w:r>
              <w:rPr>
                <w:rFonts w:hint="default"/>
                <w:lang w:val="en-US" w:eastAsia="zh-CN"/>
              </w:rPr>
              <w:t>异味；</w:t>
            </w:r>
          </w:p>
          <w:p>
            <w:pPr>
              <w:pStyle w:val="2"/>
              <w:keepNext w:val="0"/>
              <w:keepLines w:val="0"/>
              <w:pageBreakBefore w:val="0"/>
              <w:widowControl w:val="0"/>
              <w:kinsoku/>
              <w:wordWrap/>
              <w:overflowPunct/>
              <w:topLinePunct w:val="0"/>
              <w:autoSpaceDE/>
              <w:autoSpaceDN/>
              <w:bidi w:val="0"/>
              <w:spacing w:after="0" w:afterLines="0" w:line="360" w:lineRule="auto"/>
              <w:rPr>
                <w:rFonts w:hint="default"/>
                <w:lang w:val="en-US" w:eastAsia="zh-CN"/>
              </w:rPr>
            </w:pPr>
            <w:r>
              <w:rPr>
                <w:rFonts w:hint="default"/>
                <w:lang w:val="en-US" w:eastAsia="zh-CN"/>
              </w:rPr>
              <w:t>办公用固废集中回收，市政环卫部门收集处理；</w:t>
            </w:r>
          </w:p>
          <w:p>
            <w:pPr>
              <w:pStyle w:val="2"/>
              <w:keepNext w:val="0"/>
              <w:keepLines w:val="0"/>
              <w:pageBreakBefore w:val="0"/>
              <w:widowControl w:val="0"/>
              <w:kinsoku/>
              <w:wordWrap/>
              <w:overflowPunct/>
              <w:topLinePunct w:val="0"/>
              <w:autoSpaceDE/>
              <w:autoSpaceDN/>
              <w:bidi w:val="0"/>
              <w:spacing w:after="0" w:afterLines="0" w:line="360" w:lineRule="auto"/>
              <w:rPr>
                <w:rFonts w:hint="default"/>
                <w:lang w:val="en-US" w:eastAsia="zh-CN"/>
              </w:rPr>
            </w:pPr>
            <w:r>
              <w:rPr>
                <w:rFonts w:hint="default"/>
                <w:lang w:val="en-US" w:eastAsia="zh-CN"/>
              </w:rPr>
              <w:t>办公用墨盒硒鼓等危废以旧换新。</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cs="Times New Roman"/>
                <w:b w:val="0"/>
                <w:kern w:val="2"/>
                <w:sz w:val="21"/>
                <w:szCs w:val="22"/>
                <w:lang w:val="en-US" w:eastAsia="zh-CN" w:bidi="ar-SA"/>
              </w:rPr>
            </w:pPr>
            <w:r>
              <w:rPr>
                <w:rFonts w:hint="eastAsia" w:cs="Times New Roman"/>
                <w:b w:val="0"/>
                <w:kern w:val="2"/>
                <w:sz w:val="21"/>
                <w:szCs w:val="22"/>
                <w:lang w:val="en-US" w:eastAsia="zh-CN" w:bidi="ar-SA"/>
              </w:rPr>
              <w:t>办公室大门及实验检验场所均设有电子门禁；</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cs="Times New Roman"/>
                <w:b w:val="0"/>
                <w:kern w:val="2"/>
                <w:sz w:val="21"/>
                <w:szCs w:val="22"/>
                <w:lang w:val="en-US" w:eastAsia="zh-CN" w:bidi="ar-SA"/>
              </w:rPr>
            </w:pPr>
            <w:r>
              <w:rPr>
                <w:rFonts w:hint="eastAsia" w:cs="Times New Roman"/>
                <w:b w:val="0"/>
                <w:kern w:val="2"/>
                <w:sz w:val="21"/>
                <w:szCs w:val="22"/>
                <w:lang w:val="en-US" w:eastAsia="zh-CN" w:bidi="ar-SA"/>
              </w:rPr>
              <w:t>办公场所设置有烟感器、喷淋头、消火栓和灭火器，重要设备附近专门配置有二氧化碳灭火器；应急通道指示标志完好；</w:t>
            </w:r>
          </w:p>
          <w:p>
            <w:pPr>
              <w:pStyle w:val="2"/>
              <w:rPr>
                <w:rFonts w:hint="default"/>
                <w:lang w:val="en-US" w:eastAsia="zh-CN"/>
              </w:rPr>
            </w:pPr>
            <w:r>
              <w:rPr>
                <w:rFonts w:hint="eastAsia" w:cs="Times New Roman"/>
                <w:b w:val="0"/>
                <w:kern w:val="2"/>
                <w:sz w:val="21"/>
                <w:szCs w:val="22"/>
                <w:lang w:val="en-US" w:eastAsia="zh-CN" w:bidi="ar-SA"/>
              </w:rPr>
              <w:t>介绍说，消控系统由物业统一管理，公司平时对灭火器进行检查；</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default" w:ascii="Times New Roman" w:hAnsi="Times New Roman" w:eastAsia="宋体" w:cs="Times New Roman"/>
                <w:b w:val="0"/>
                <w:color w:val="auto"/>
                <w:kern w:val="2"/>
                <w:sz w:val="21"/>
                <w:szCs w:val="22"/>
                <w:lang w:val="en-US" w:eastAsia="zh-CN" w:bidi="ar-SA"/>
              </w:rPr>
            </w:pPr>
            <w:r>
              <w:rPr>
                <w:rFonts w:hint="default" w:ascii="Times New Roman" w:hAnsi="Times New Roman" w:eastAsia="宋体" w:cs="Times New Roman"/>
                <w:b w:val="0"/>
                <w:kern w:val="2"/>
                <w:sz w:val="21"/>
                <w:szCs w:val="22"/>
                <w:lang w:val="en-US" w:eastAsia="zh-CN" w:bidi="ar-SA"/>
              </w:rPr>
              <w:t>电路、电源正常，电路布线合理、电气插座完整，未见破损，无乱拉乱接电线、使用超额电气等现象；未见用电不当等安全隐患及不良影响现</w:t>
            </w:r>
            <w:r>
              <w:rPr>
                <w:rFonts w:hint="default" w:ascii="Times New Roman" w:hAnsi="Times New Roman" w:eastAsia="宋体" w:cs="Times New Roman"/>
                <w:b w:val="0"/>
                <w:color w:val="auto"/>
                <w:kern w:val="2"/>
                <w:sz w:val="21"/>
                <w:szCs w:val="22"/>
                <w:lang w:val="en-US" w:eastAsia="zh-CN" w:bidi="ar-SA"/>
              </w:rPr>
              <w:t>象。</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ascii="Times New Roman" w:hAnsi="Times New Roman" w:cs="Times New Roman"/>
                <w:color w:val="auto"/>
                <w:szCs w:val="22"/>
                <w:highlight w:val="none"/>
                <w:lang w:val="en-US" w:eastAsia="zh-CN"/>
              </w:rPr>
            </w:pPr>
            <w:r>
              <w:rPr>
                <w:rFonts w:hint="default" w:ascii="Times New Roman" w:hAnsi="Times New Roman" w:cs="Times New Roman"/>
                <w:color w:val="auto"/>
                <w:szCs w:val="22"/>
                <w:highlight w:val="none"/>
                <w:lang w:val="en-US" w:eastAsia="zh-CN"/>
              </w:rPr>
              <w:t>对部门员工进行了不定期的交通安全宣传；</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firstLine="420" w:firstLineChars="200"/>
              <w:textAlignment w:val="auto"/>
              <w:rPr>
                <w:rFonts w:hint="default" w:ascii="Times New Roman" w:hAnsi="Times New Roman" w:cs="Times New Roman"/>
                <w:color w:val="auto"/>
                <w:szCs w:val="22"/>
                <w:highlight w:val="none"/>
                <w:lang w:val="en-US" w:eastAsia="zh-CN"/>
              </w:rPr>
            </w:pPr>
            <w:r>
              <w:rPr>
                <w:rFonts w:hint="default" w:ascii="Times New Roman" w:hAnsi="Times New Roman" w:cs="Times New Roman"/>
                <w:color w:val="auto"/>
                <w:szCs w:val="22"/>
                <w:highlight w:val="none"/>
                <w:lang w:val="en-US" w:eastAsia="zh-CN"/>
              </w:rPr>
              <w:t>查见“相关方告知书”，有效文件，对供方进行了环境和职业健康安全有关事项的沟通。</w:t>
            </w:r>
          </w:p>
        </w:tc>
        <w:tc>
          <w:tcPr>
            <w:tcW w:w="1585" w:type="dxa"/>
            <w:vAlign w:val="top"/>
          </w:tcPr>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default" w:ascii="Times New Roman" w:hAnsi="Times New Roman" w:cs="Times New Roman"/>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3" w:type="dxa"/>
            <w:vAlign w:val="top"/>
          </w:tcPr>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default" w:ascii="Times New Roman" w:hAnsi="Times New Roman" w:cs="Times New Roman"/>
                <w:szCs w:val="22"/>
                <w:lang w:val="en-US" w:eastAsia="zh-CN"/>
              </w:rPr>
            </w:pPr>
            <w:r>
              <w:rPr>
                <w:rFonts w:hint="eastAsia" w:ascii="Times New Roman" w:hAnsi="Times New Roman" w:cs="Times New Roman"/>
                <w:szCs w:val="22"/>
                <w:lang w:val="en-US" w:eastAsia="zh-CN"/>
              </w:rPr>
              <w:t>应急准备和响应</w:t>
            </w:r>
          </w:p>
        </w:tc>
        <w:tc>
          <w:tcPr>
            <w:tcW w:w="1187" w:type="dxa"/>
            <w:vAlign w:val="top"/>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Times New Roman" w:hAnsi="Times New Roman" w:cs="Times New Roman"/>
                <w:szCs w:val="22"/>
                <w:lang w:val="en-US" w:eastAsia="zh-CN"/>
              </w:rPr>
            </w:pPr>
            <w:r>
              <w:rPr>
                <w:rFonts w:hint="eastAsia" w:asciiTheme="minorEastAsia" w:hAnsiTheme="minorEastAsia" w:eastAsiaTheme="minorEastAsia" w:cstheme="minorEastAsia"/>
                <w:color w:val="auto"/>
                <w:spacing w:val="-6"/>
                <w:kern w:val="2"/>
                <w:sz w:val="21"/>
                <w:szCs w:val="21"/>
                <w:lang w:val="en-US" w:eastAsia="zh-CN" w:bidi="ar-SA"/>
              </w:rPr>
              <w:t>EO:8.2</w:t>
            </w:r>
          </w:p>
        </w:tc>
        <w:tc>
          <w:tcPr>
            <w:tcW w:w="9774" w:type="dxa"/>
            <w:vAlign w:val="top"/>
          </w:tcPr>
          <w:p>
            <w:pPr>
              <w:pStyle w:val="2"/>
              <w:keepNext w:val="0"/>
              <w:keepLines w:val="0"/>
              <w:pageBreakBefore w:val="0"/>
              <w:widowControl w:val="0"/>
              <w:kinsoku/>
              <w:wordWrap/>
              <w:overflowPunct/>
              <w:topLinePunct w:val="0"/>
              <w:autoSpaceDE/>
              <w:autoSpaceDN/>
              <w:bidi w:val="0"/>
              <w:adjustRightInd/>
              <w:snapToGrid/>
              <w:spacing w:after="0" w:afterLines="0" w:line="360" w:lineRule="auto"/>
              <w:ind w:firstLine="420" w:firstLineChars="200"/>
              <w:textAlignment w:val="auto"/>
              <w:rPr>
                <w:rFonts w:hint="default" w:cs="Times New Roman"/>
                <w:color w:val="auto"/>
                <w:szCs w:val="22"/>
                <w:highlight w:val="none"/>
                <w:lang w:val="en-US" w:eastAsia="zh-CN"/>
              </w:rPr>
            </w:pPr>
            <w:r>
              <w:rPr>
                <w:rFonts w:hint="eastAsia" w:cs="Times New Roman"/>
                <w:color w:val="auto"/>
                <w:szCs w:val="22"/>
                <w:highlight w:val="none"/>
                <w:lang w:val="en-US" w:eastAsia="zh-CN"/>
              </w:rPr>
              <w:t>查见“应急救援预案”，2021年04月1日，包括触电事故应急预案、交通意外事故应急预案、火灾应急预案等；</w:t>
            </w:r>
            <w:bookmarkStart w:id="2" w:name="_GoBack"/>
            <w:bookmarkEnd w:id="2"/>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firstLine="420" w:firstLineChars="200"/>
              <w:textAlignment w:val="auto"/>
              <w:rPr>
                <w:rFonts w:hint="eastAsia" w:cs="Times New Roman"/>
                <w:color w:val="auto"/>
                <w:szCs w:val="22"/>
                <w:highlight w:val="none"/>
                <w:lang w:val="en-US" w:eastAsia="zh-CN"/>
              </w:rPr>
            </w:pPr>
            <w:r>
              <w:rPr>
                <w:rFonts w:hint="eastAsia" w:cs="Times New Roman"/>
                <w:color w:val="auto"/>
                <w:szCs w:val="22"/>
                <w:highlight w:val="none"/>
                <w:lang w:val="en-US" w:eastAsia="zh-CN"/>
              </w:rPr>
              <w:t>抽见2021年5月20日的火灾应急救援预案演练计划、演练记录、保留有对演练效果的评价；</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firstLine="420" w:firstLineChars="200"/>
              <w:textAlignment w:val="auto"/>
              <w:rPr>
                <w:rFonts w:hint="eastAsia" w:cs="Times New Roman"/>
                <w:color w:val="auto"/>
                <w:szCs w:val="22"/>
                <w:highlight w:val="none"/>
                <w:lang w:val="en-US" w:eastAsia="zh-CN"/>
              </w:rPr>
            </w:pPr>
            <w:r>
              <w:rPr>
                <w:rFonts w:hint="eastAsia" w:cs="Times New Roman"/>
                <w:color w:val="auto"/>
                <w:szCs w:val="22"/>
                <w:highlight w:val="none"/>
                <w:lang w:val="en-US" w:eastAsia="zh-CN"/>
              </w:rPr>
              <w:t>另查见2021年5月25日触电事故应急救援预案的演练资料，同上。</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firstLine="396" w:firstLineChars="200"/>
              <w:textAlignment w:val="auto"/>
              <w:rPr>
                <w:rFonts w:hint="eastAsia" w:ascii="宋体" w:hAnsi="宋体" w:cs="Arial"/>
                <w:spacing w:val="-6"/>
                <w:sz w:val="21"/>
                <w:szCs w:val="21"/>
                <w:highlight w:val="none"/>
                <w:lang w:val="en-US" w:eastAsia="zh-CN"/>
              </w:rPr>
            </w:pPr>
            <w:r>
              <w:rPr>
                <w:rFonts w:hint="eastAsia" w:ascii="宋体" w:hAnsi="宋体" w:cs="Arial"/>
                <w:spacing w:val="-6"/>
                <w:sz w:val="21"/>
                <w:szCs w:val="21"/>
                <w:highlight w:val="none"/>
                <w:lang w:val="en-US" w:eastAsia="zh-CN"/>
              </w:rPr>
              <w:t>配置有应急喷淋器和洗眼器；</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firstLine="396" w:firstLineChars="200"/>
              <w:textAlignment w:val="auto"/>
              <w:rPr>
                <w:rFonts w:hint="default" w:ascii="宋体" w:hAnsi="宋体" w:cs="Arial"/>
                <w:spacing w:val="-6"/>
                <w:sz w:val="21"/>
                <w:szCs w:val="21"/>
                <w:highlight w:val="none"/>
                <w:lang w:val="en-US" w:eastAsia="zh-CN"/>
              </w:rPr>
            </w:pPr>
            <w:r>
              <w:rPr>
                <w:rFonts w:hint="eastAsia" w:ascii="宋体" w:hAnsi="宋体" w:cs="Arial"/>
                <w:spacing w:val="-6"/>
                <w:sz w:val="21"/>
                <w:szCs w:val="21"/>
                <w:highlight w:val="none"/>
                <w:lang w:val="en-US" w:eastAsia="zh-CN"/>
              </w:rPr>
              <w:t>配置有简单的药品，创口贴、碘伏等；</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firstLine="420" w:firstLineChars="200"/>
              <w:textAlignment w:val="auto"/>
              <w:rPr>
                <w:rFonts w:hint="eastAsia" w:cs="Times New Roman"/>
                <w:color w:val="auto"/>
                <w:szCs w:val="22"/>
                <w:highlight w:val="none"/>
                <w:lang w:val="en-US" w:eastAsia="zh-CN"/>
              </w:rPr>
            </w:pPr>
            <w:r>
              <w:rPr>
                <w:rFonts w:hint="eastAsia" w:cs="Times New Roman"/>
                <w:color w:val="auto"/>
                <w:szCs w:val="22"/>
                <w:highlight w:val="none"/>
                <w:lang w:val="en-US" w:eastAsia="zh-CN"/>
              </w:rPr>
              <w:t>配置有二氧化碳灭火器，每月进行检查。</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firstLine="420" w:firstLineChars="200"/>
              <w:textAlignment w:val="auto"/>
              <w:rPr>
                <w:rFonts w:hint="default" w:cs="Times New Roman"/>
                <w:color w:val="auto"/>
                <w:szCs w:val="22"/>
                <w:highlight w:val="none"/>
                <w:lang w:val="en-US" w:eastAsia="zh-CN"/>
              </w:rPr>
            </w:pPr>
            <w:r>
              <w:rPr>
                <w:rFonts w:hint="eastAsia" w:cs="Times New Roman"/>
                <w:color w:val="auto"/>
                <w:szCs w:val="22"/>
                <w:highlight w:val="none"/>
                <w:lang w:val="en-US" w:eastAsia="zh-CN"/>
              </w:rPr>
              <w:t>应急管理基本符合要求。</w:t>
            </w:r>
          </w:p>
        </w:tc>
        <w:tc>
          <w:tcPr>
            <w:tcW w:w="1585" w:type="dxa"/>
            <w:vAlign w:val="top"/>
          </w:tcPr>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trPr>
        <w:tc>
          <w:tcPr>
            <w:tcW w:w="2163" w:type="dxa"/>
            <w:vAlign w:val="top"/>
          </w:tcPr>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lang w:val="en-US" w:eastAsia="zh-CN"/>
              </w:rPr>
            </w:pPr>
            <w:r>
              <w:rPr>
                <w:rFonts w:hint="eastAsia"/>
                <w:lang w:val="en-US" w:eastAsia="zh-CN"/>
              </w:rPr>
              <w:t>合规义务</w:t>
            </w:r>
          </w:p>
          <w:p>
            <w:pPr>
              <w:pStyle w:val="2"/>
              <w:keepNext w:val="0"/>
              <w:keepLines w:val="0"/>
              <w:pageBreakBefore w:val="0"/>
              <w:widowControl w:val="0"/>
              <w:kinsoku/>
              <w:wordWrap/>
              <w:overflowPunct/>
              <w:topLinePunct w:val="0"/>
              <w:autoSpaceDE/>
              <w:autoSpaceDN/>
              <w:bidi w:val="0"/>
              <w:spacing w:after="0" w:afterLines="0" w:line="360" w:lineRule="auto"/>
              <w:ind w:left="0" w:leftChars="0" w:firstLine="0" w:firstLineChars="0"/>
              <w:rPr>
                <w:rFonts w:hint="default" w:ascii="Times New Roman" w:hAnsi="Times New Roman" w:eastAsia="宋体" w:cs="Times New Roman"/>
                <w:kern w:val="2"/>
                <w:sz w:val="21"/>
                <w:lang w:val="en-US" w:eastAsia="zh-CN" w:bidi="ar-SA"/>
              </w:rPr>
            </w:pPr>
            <w:r>
              <w:rPr>
                <w:rFonts w:hint="eastAsia" w:asciiTheme="minorEastAsia" w:hAnsiTheme="minorEastAsia" w:eastAsiaTheme="minorEastAsia" w:cstheme="minorEastAsia"/>
                <w:kern w:val="2"/>
                <w:sz w:val="21"/>
                <w:lang w:val="en-US" w:eastAsia="zh-CN" w:bidi="ar-SA"/>
              </w:rPr>
              <w:t>合规性评价</w:t>
            </w:r>
          </w:p>
        </w:tc>
        <w:tc>
          <w:tcPr>
            <w:tcW w:w="1187" w:type="dxa"/>
            <w:vAlign w:val="top"/>
          </w:tcPr>
          <w:p>
            <w:pPr>
              <w:pStyle w:val="2"/>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0" w:firstLineChars="0"/>
              <w:jc w:val="center"/>
              <w:textAlignment w:val="auto"/>
              <w:rPr>
                <w:rFonts w:hint="default" w:asciiTheme="minorEastAsia" w:hAnsiTheme="minorEastAsia" w:eastAsiaTheme="minorEastAsia" w:cstheme="minorEastAsia"/>
                <w:color w:val="auto"/>
                <w:spacing w:val="-6"/>
                <w:kern w:val="2"/>
                <w:sz w:val="21"/>
                <w:szCs w:val="21"/>
                <w:lang w:val="en-US" w:eastAsia="zh-CN" w:bidi="ar-SA"/>
              </w:rPr>
            </w:pPr>
            <w:r>
              <w:rPr>
                <w:rFonts w:hint="eastAsia" w:asciiTheme="minorEastAsia" w:hAnsiTheme="minorEastAsia" w:eastAsiaTheme="minorEastAsia" w:cstheme="minorEastAsia"/>
                <w:color w:val="auto"/>
                <w:spacing w:val="-6"/>
                <w:kern w:val="2"/>
                <w:sz w:val="21"/>
                <w:szCs w:val="21"/>
                <w:lang w:val="en-US" w:eastAsia="zh-CN" w:bidi="ar-SA"/>
              </w:rPr>
              <w:t>EO:6.1.3</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0" w:firstLineChars="0"/>
              <w:jc w:val="center"/>
              <w:textAlignment w:val="auto"/>
              <w:rPr>
                <w:rFonts w:hint="eastAsia" w:asciiTheme="minorEastAsia" w:hAnsiTheme="minorEastAsia" w:eastAsiaTheme="minorEastAsia" w:cstheme="minorEastAsia"/>
                <w:color w:val="auto"/>
                <w:spacing w:val="-6"/>
                <w:kern w:val="2"/>
                <w:sz w:val="21"/>
                <w:szCs w:val="21"/>
                <w:lang w:val="en-US" w:eastAsia="zh-CN" w:bidi="ar-SA"/>
              </w:rPr>
            </w:pPr>
            <w:r>
              <w:rPr>
                <w:rFonts w:hint="eastAsia" w:asciiTheme="minorEastAsia" w:hAnsiTheme="minorEastAsia" w:eastAsiaTheme="minorEastAsia" w:cstheme="minorEastAsia"/>
                <w:color w:val="auto"/>
                <w:spacing w:val="-6"/>
                <w:kern w:val="2"/>
                <w:sz w:val="21"/>
                <w:szCs w:val="21"/>
                <w:lang w:val="en-US" w:eastAsia="zh-CN" w:bidi="ar-SA"/>
              </w:rPr>
              <w:t>9.1.2</w:t>
            </w:r>
          </w:p>
        </w:tc>
        <w:tc>
          <w:tcPr>
            <w:tcW w:w="9774" w:type="dxa"/>
            <w:vAlign w:val="top"/>
          </w:tcPr>
          <w:p>
            <w:pPr>
              <w:pStyle w:val="2"/>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eastAsia"/>
                <w:color w:val="auto"/>
                <w:szCs w:val="22"/>
                <w:highlight w:val="none"/>
                <w:lang w:val="en-US" w:eastAsia="zh-CN"/>
              </w:rPr>
            </w:pPr>
            <w:r>
              <w:rPr>
                <w:rFonts w:hint="eastAsia"/>
                <w:color w:val="auto"/>
                <w:szCs w:val="22"/>
                <w:highlight w:val="none"/>
                <w:lang w:val="en-US" w:eastAsia="zh-CN"/>
              </w:rPr>
              <w:t>查见“环境和职业健康安全法律法规控制程序”，有效文件，无变化；</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eastAsia"/>
                <w:color w:val="auto"/>
                <w:szCs w:val="22"/>
                <w:highlight w:val="none"/>
                <w:lang w:val="en-US" w:eastAsia="zh-CN"/>
              </w:rPr>
            </w:pPr>
            <w:r>
              <w:rPr>
                <w:rFonts w:hint="eastAsia"/>
                <w:color w:val="auto"/>
                <w:szCs w:val="22"/>
                <w:highlight w:val="none"/>
                <w:lang w:val="en-US" w:eastAsia="zh-CN"/>
              </w:rPr>
              <w:t>查见环境和职业健康安全“适用的法律法规和其他要求一览表”，收集了中华人民共和国大气污染防治法、中华人民共和国固体废物污染环境防治法、中华人民共和国环境保护法、中华人民共和国环境噪声污染防治法、中华人民共和国水污染防治法、大气污染物综合排放标准、污水综合排放标准、中华人民共和国安全生产法等109部；基本符合。</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eastAsia"/>
                <w:color w:val="auto"/>
                <w:szCs w:val="22"/>
                <w:highlight w:val="none"/>
                <w:lang w:val="en-US" w:eastAsia="zh-CN"/>
              </w:rPr>
            </w:pPr>
            <w:r>
              <w:rPr>
                <w:rFonts w:hint="eastAsia"/>
                <w:color w:val="auto"/>
                <w:szCs w:val="22"/>
                <w:highlight w:val="none"/>
                <w:lang w:val="en-US" w:eastAsia="zh-CN"/>
              </w:rPr>
              <w:t>查见“合规性评价报告”，2021年5月6日开展了年度的合规性评价工作，评价结论：公司对适用的法律、法规均已遵守。自公司建立管理体系以来，未发生任何破坏环境的现象及安全事故现象；未发生任何顾客、周边居民因环境、安全事故而投诉的现象。</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firstLine="420" w:firstLineChars="200"/>
              <w:textAlignment w:val="auto"/>
              <w:rPr>
                <w:rFonts w:hint="default" w:ascii="Times New Roman" w:hAnsi="Times New Roman" w:eastAsia="宋体" w:cs="Times New Roman"/>
                <w:color w:val="auto"/>
                <w:kern w:val="2"/>
                <w:sz w:val="21"/>
                <w:szCs w:val="22"/>
                <w:highlight w:val="none"/>
                <w:lang w:val="en-US" w:eastAsia="zh-CN" w:bidi="ar-SA"/>
              </w:rPr>
            </w:pPr>
            <w:r>
              <w:rPr>
                <w:rFonts w:hint="eastAsia"/>
                <w:color w:val="auto"/>
                <w:szCs w:val="22"/>
                <w:highlight w:val="none"/>
                <w:lang w:val="en-US" w:eastAsia="zh-CN"/>
              </w:rPr>
              <w:t>保留有评价通知和评价记录。</w:t>
            </w:r>
          </w:p>
        </w:tc>
        <w:tc>
          <w:tcPr>
            <w:tcW w:w="1585" w:type="dxa"/>
          </w:tcPr>
          <w:p>
            <w:pPr>
              <w:keepNext w:val="0"/>
              <w:keepLines w:val="0"/>
              <w:pageBreakBefore w:val="0"/>
              <w:widowControl w:val="0"/>
              <w:kinsoku/>
              <w:wordWrap/>
              <w:overflowPunct/>
              <w:topLinePunct w:val="0"/>
              <w:autoSpaceDE/>
              <w:autoSpaceDN/>
              <w:bidi w:val="0"/>
              <w:spacing w:after="0" w:line="360" w:lineRule="auto"/>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 w:hRule="atLeast"/>
        </w:trPr>
        <w:tc>
          <w:tcPr>
            <w:tcW w:w="2163" w:type="dxa"/>
            <w:vAlign w:val="top"/>
          </w:tcPr>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default" w:ascii="Times New Roman" w:hAnsi="Times New Roman" w:eastAsia="宋体" w:cs="Times New Roman"/>
                <w:color w:val="auto"/>
                <w:kern w:val="2"/>
                <w:sz w:val="21"/>
                <w:lang w:val="en-US" w:eastAsia="zh-CN" w:bidi="ar-SA"/>
              </w:rPr>
            </w:pPr>
            <w:r>
              <w:rPr>
                <w:rFonts w:hint="default" w:ascii="Times New Roman" w:hAnsi="Times New Roman" w:cs="Times New Roman"/>
                <w:spacing w:val="-6"/>
                <w:sz w:val="21"/>
                <w:szCs w:val="21"/>
                <w:u w:val="none"/>
              </w:rPr>
              <w:t>监视、测量、分析和评价</w:t>
            </w:r>
          </w:p>
        </w:tc>
        <w:tc>
          <w:tcPr>
            <w:tcW w:w="1187" w:type="dxa"/>
            <w:vAlign w:val="top"/>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Theme="minorEastAsia" w:hAnsiTheme="minorEastAsia" w:eastAsiaTheme="minorEastAsia" w:cstheme="minorEastAsia"/>
                <w:color w:val="auto"/>
                <w:spacing w:val="-6"/>
                <w:kern w:val="2"/>
                <w:sz w:val="21"/>
                <w:szCs w:val="21"/>
                <w:lang w:val="en-US" w:eastAsia="zh-CN" w:bidi="ar-SA"/>
              </w:rPr>
            </w:pPr>
            <w:r>
              <w:rPr>
                <w:rFonts w:hint="default" w:asciiTheme="minorEastAsia" w:hAnsiTheme="minorEastAsia" w:eastAsiaTheme="minorEastAsia" w:cstheme="minorEastAsia"/>
                <w:color w:val="auto"/>
                <w:spacing w:val="-6"/>
                <w:kern w:val="2"/>
                <w:sz w:val="21"/>
                <w:szCs w:val="21"/>
                <w:lang w:val="en-US" w:eastAsia="zh-CN" w:bidi="ar-SA"/>
              </w:rPr>
              <w:t>Q</w:t>
            </w:r>
            <w:r>
              <w:rPr>
                <w:rFonts w:hint="eastAsia" w:asciiTheme="minorEastAsia" w:hAnsiTheme="minorEastAsia" w:eastAsiaTheme="minorEastAsia" w:cstheme="minorEastAsia"/>
                <w:color w:val="auto"/>
                <w:spacing w:val="-6"/>
                <w:kern w:val="2"/>
                <w:sz w:val="21"/>
                <w:szCs w:val="21"/>
                <w:lang w:val="en-US" w:eastAsia="zh-CN" w:bidi="ar-SA"/>
              </w:rPr>
              <w:t>EO</w:t>
            </w:r>
            <w:r>
              <w:rPr>
                <w:rFonts w:hint="default" w:asciiTheme="minorEastAsia" w:hAnsiTheme="minorEastAsia" w:eastAsiaTheme="minorEastAsia" w:cstheme="minorEastAsia"/>
                <w:color w:val="auto"/>
                <w:spacing w:val="-6"/>
                <w:kern w:val="2"/>
                <w:sz w:val="21"/>
                <w:szCs w:val="21"/>
                <w:lang w:val="en-US" w:eastAsia="zh-CN" w:bidi="ar-SA"/>
              </w:rPr>
              <w:t>:9.1.1</w:t>
            </w:r>
          </w:p>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Theme="minorEastAsia" w:hAnsiTheme="minorEastAsia" w:eastAsiaTheme="minorEastAsia" w:cstheme="minorEastAsia"/>
                <w:color w:val="auto"/>
                <w:spacing w:val="-6"/>
                <w:kern w:val="2"/>
                <w:sz w:val="21"/>
                <w:szCs w:val="21"/>
                <w:lang w:val="en-US" w:eastAsia="zh-CN" w:bidi="ar-SA"/>
              </w:rPr>
            </w:pPr>
            <w:r>
              <w:rPr>
                <w:rFonts w:hint="default" w:asciiTheme="minorEastAsia" w:hAnsiTheme="minorEastAsia" w:eastAsiaTheme="minorEastAsia" w:cstheme="minorEastAsia"/>
                <w:color w:val="auto"/>
                <w:spacing w:val="-6"/>
                <w:kern w:val="2"/>
                <w:sz w:val="21"/>
                <w:szCs w:val="21"/>
                <w:lang w:val="en-US" w:eastAsia="zh-CN" w:bidi="ar-SA"/>
              </w:rPr>
              <w:t>Q</w:t>
            </w:r>
            <w:r>
              <w:rPr>
                <w:rFonts w:hint="eastAsia" w:asciiTheme="minorEastAsia" w:hAnsiTheme="minorEastAsia" w:eastAsiaTheme="minorEastAsia" w:cstheme="minorEastAsia"/>
                <w:color w:val="auto"/>
                <w:spacing w:val="-6"/>
                <w:kern w:val="2"/>
                <w:sz w:val="21"/>
                <w:szCs w:val="21"/>
                <w:lang w:val="en-US" w:eastAsia="zh-CN" w:bidi="ar-SA"/>
              </w:rPr>
              <w:t>EO</w:t>
            </w:r>
            <w:r>
              <w:rPr>
                <w:rFonts w:hint="default" w:asciiTheme="minorEastAsia" w:hAnsiTheme="minorEastAsia" w:eastAsiaTheme="minorEastAsia" w:cstheme="minorEastAsia"/>
                <w:color w:val="auto"/>
                <w:spacing w:val="-6"/>
                <w:kern w:val="2"/>
                <w:sz w:val="21"/>
                <w:szCs w:val="21"/>
                <w:lang w:val="en-US" w:eastAsia="zh-CN" w:bidi="ar-SA"/>
              </w:rPr>
              <w:t>:9.1.3</w:t>
            </w:r>
          </w:p>
        </w:tc>
        <w:tc>
          <w:tcPr>
            <w:tcW w:w="9774" w:type="dxa"/>
            <w:vAlign w:val="top"/>
          </w:tcPr>
          <w:p>
            <w:pPr>
              <w:pStyle w:val="2"/>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ascii="Times New Roman" w:hAnsi="Times New Roman" w:cs="Times New Roman"/>
                <w:color w:val="auto"/>
                <w:szCs w:val="22"/>
                <w:highlight w:val="none"/>
                <w:lang w:val="en-US" w:eastAsia="zh-CN"/>
              </w:rPr>
            </w:pPr>
            <w:r>
              <w:rPr>
                <w:rFonts w:hint="default" w:ascii="Times New Roman" w:hAnsi="Times New Roman" w:cs="Times New Roman"/>
                <w:color w:val="auto"/>
                <w:szCs w:val="22"/>
                <w:highlight w:val="none"/>
                <w:lang w:val="en-US" w:eastAsia="zh-CN"/>
              </w:rPr>
              <w:t>公司保持有“监视和测量控制程序”，有效文件，无变化。</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ascii="Times New Roman" w:hAnsi="Times New Roman" w:cs="Times New Roman"/>
                <w:color w:val="auto"/>
                <w:szCs w:val="22"/>
                <w:highlight w:val="none"/>
                <w:lang w:val="en-US" w:eastAsia="zh-CN"/>
              </w:rPr>
            </w:pPr>
            <w:r>
              <w:rPr>
                <w:rFonts w:hint="default" w:ascii="Times New Roman" w:hAnsi="Times New Roman" w:cs="Times New Roman"/>
                <w:color w:val="auto"/>
                <w:szCs w:val="22"/>
                <w:highlight w:val="none"/>
                <w:lang w:val="en-US" w:eastAsia="zh-CN"/>
              </w:rPr>
              <w:t>保留“目标分解考核表”，对目标完成情况进行绩效考核；</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ascii="Times New Roman" w:hAnsi="Times New Roman" w:cs="Times New Roman"/>
                <w:color w:val="auto"/>
                <w:szCs w:val="22"/>
                <w:highlight w:val="none"/>
                <w:lang w:val="en-US" w:eastAsia="zh-CN"/>
              </w:rPr>
            </w:pPr>
            <w:r>
              <w:rPr>
                <w:rFonts w:hint="eastAsia" w:cs="Times New Roman"/>
                <w:color w:val="auto"/>
                <w:szCs w:val="22"/>
                <w:highlight w:val="none"/>
                <w:lang w:val="en-US" w:eastAsia="zh-CN"/>
              </w:rPr>
              <w:t>保留“环境、安全检查记录”，抽见2021.4-8月，每月对</w:t>
            </w:r>
            <w:r>
              <w:rPr>
                <w:rFonts w:hint="default" w:ascii="Times New Roman" w:hAnsi="Times New Roman" w:cs="Times New Roman"/>
                <w:color w:val="auto"/>
                <w:szCs w:val="22"/>
                <w:highlight w:val="none"/>
                <w:lang w:val="en-US" w:eastAsia="zh-CN"/>
              </w:rPr>
              <w:t>对固废管理、</w:t>
            </w:r>
            <w:r>
              <w:rPr>
                <w:rFonts w:hint="eastAsia" w:ascii="Times New Roman" w:hAnsi="Times New Roman" w:cs="Times New Roman"/>
                <w:color w:val="auto"/>
                <w:szCs w:val="22"/>
                <w:highlight w:val="none"/>
                <w:lang w:val="en-US" w:eastAsia="zh-CN"/>
              </w:rPr>
              <w:t>用电安全</w:t>
            </w:r>
            <w:r>
              <w:rPr>
                <w:rFonts w:hint="default" w:ascii="Times New Roman" w:hAnsi="Times New Roman" w:cs="Times New Roman"/>
                <w:color w:val="auto"/>
                <w:szCs w:val="22"/>
                <w:highlight w:val="none"/>
                <w:lang w:val="en-US" w:eastAsia="zh-CN"/>
              </w:rPr>
              <w:t>、消防安全等进行了检查，结果均正常；检查人签字；</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ascii="Times New Roman" w:hAnsi="Times New Roman" w:cs="Times New Roman"/>
                <w:color w:val="auto"/>
                <w:szCs w:val="22"/>
                <w:highlight w:val="none"/>
                <w:lang w:val="en-US" w:eastAsia="zh-CN"/>
              </w:rPr>
            </w:pPr>
            <w:r>
              <w:rPr>
                <w:rFonts w:hint="eastAsia" w:ascii="Times New Roman" w:hAnsi="Times New Roman" w:cs="Times New Roman"/>
                <w:color w:val="auto"/>
                <w:szCs w:val="22"/>
                <w:highlight w:val="none"/>
                <w:lang w:val="en-US" w:eastAsia="zh-CN"/>
              </w:rPr>
              <w:t>建议对实验人员保持健康检查，交流；</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ascii="Times New Roman" w:hAnsi="Times New Roman" w:cs="Times New Roman"/>
                <w:color w:val="auto"/>
                <w:szCs w:val="22"/>
                <w:highlight w:val="none"/>
                <w:lang w:val="en-US" w:eastAsia="zh-CN"/>
              </w:rPr>
            </w:pPr>
            <w:r>
              <w:rPr>
                <w:rFonts w:hint="eastAsia" w:ascii="Times New Roman" w:hAnsi="Times New Roman" w:cs="Times New Roman"/>
                <w:color w:val="auto"/>
                <w:szCs w:val="22"/>
                <w:highlight w:val="none"/>
                <w:lang w:val="en-US" w:eastAsia="zh-CN"/>
              </w:rPr>
              <w:t>保持检验检测机构资质认定证书，每年进行能力确认。</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ascii="Times New Roman" w:hAnsi="Times New Roman" w:cs="Times New Roman"/>
                <w:color w:val="auto"/>
                <w:szCs w:val="22"/>
                <w:highlight w:val="none"/>
                <w:lang w:val="en-US" w:eastAsia="zh-CN"/>
              </w:rPr>
            </w:pPr>
            <w:r>
              <w:rPr>
                <w:rFonts w:hint="eastAsia" w:cs="Times New Roman"/>
                <w:color w:val="auto"/>
                <w:szCs w:val="22"/>
                <w:highlight w:val="none"/>
                <w:lang w:val="en-US" w:eastAsia="zh-CN"/>
              </w:rPr>
              <w:t>目前尚</w:t>
            </w:r>
            <w:r>
              <w:rPr>
                <w:rFonts w:hint="default" w:ascii="Times New Roman" w:hAnsi="Times New Roman" w:cs="Times New Roman"/>
                <w:color w:val="auto"/>
                <w:szCs w:val="22"/>
                <w:highlight w:val="none"/>
                <w:lang w:val="en-US" w:eastAsia="zh-CN"/>
              </w:rPr>
              <w:t>未有上级主管部门的监督检查。</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firstLine="420" w:firstLineChars="200"/>
              <w:textAlignment w:val="auto"/>
              <w:rPr>
                <w:rFonts w:hint="default" w:ascii="Times New Roman" w:hAnsi="Times New Roman" w:eastAsia="宋体" w:cs="Times New Roman"/>
                <w:color w:val="auto"/>
                <w:kern w:val="2"/>
                <w:sz w:val="21"/>
                <w:szCs w:val="22"/>
                <w:highlight w:val="none"/>
                <w:lang w:val="en-US" w:eastAsia="zh-CN" w:bidi="ar-SA"/>
              </w:rPr>
            </w:pPr>
            <w:r>
              <w:rPr>
                <w:rFonts w:hint="eastAsia" w:cs="Times New Roman"/>
                <w:color w:val="auto"/>
                <w:szCs w:val="22"/>
                <w:highlight w:val="none"/>
                <w:lang w:val="en-US" w:eastAsia="zh-CN"/>
              </w:rPr>
              <w:t>基本符合。</w:t>
            </w:r>
          </w:p>
        </w:tc>
        <w:tc>
          <w:tcPr>
            <w:tcW w:w="1585" w:type="dxa"/>
            <w:vAlign w:val="top"/>
          </w:tcPr>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default" w:ascii="Times New Roman" w:hAnsi="Times New Roman" w:eastAsia="宋体" w:cs="Times New Roman"/>
                <w:color w:val="auto"/>
                <w:kern w:val="2"/>
                <w:sz w:val="21"/>
                <w:lang w:val="en-US" w:eastAsia="zh-CN" w:bidi="ar-SA"/>
              </w:rPr>
            </w:pPr>
            <w:r>
              <w:rPr>
                <w:rFonts w:hint="default" w:ascii="Times New Roman" w:hAnsi="Times New Roman" w:cs="Times New Roman"/>
                <w:color w:val="auto"/>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3" w:type="dxa"/>
            <w:vAlign w:val="top"/>
          </w:tcPr>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default" w:ascii="Times New Roman" w:hAnsi="Times New Roman" w:cs="Times New Roman"/>
                <w:color w:val="auto"/>
                <w:szCs w:val="22"/>
              </w:rPr>
            </w:pPr>
            <w:r>
              <w:rPr>
                <w:rFonts w:hint="default" w:ascii="Times New Roman" w:hAnsi="Times New Roman" w:cs="Times New Roman"/>
                <w:color w:val="auto"/>
                <w:szCs w:val="22"/>
              </w:rPr>
              <w:t>内部审核</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default" w:ascii="Times New Roman" w:hAnsi="Times New Roman" w:cs="Times New Roman"/>
                <w:color w:val="auto"/>
                <w:szCs w:val="22"/>
                <w:lang w:val="en-US" w:eastAsia="zh-CN"/>
              </w:rPr>
            </w:pPr>
            <w:r>
              <w:rPr>
                <w:rFonts w:hint="eastAsia" w:ascii="Times New Roman" w:hAnsi="Times New Roman" w:cs="Times New Roman"/>
                <w:color w:val="auto"/>
                <w:szCs w:val="22"/>
                <w:lang w:val="en-US" w:eastAsia="zh-CN"/>
              </w:rPr>
              <w:t>不合格和纠正措施</w:t>
            </w:r>
          </w:p>
        </w:tc>
        <w:tc>
          <w:tcPr>
            <w:tcW w:w="1187" w:type="dxa"/>
            <w:vAlign w:val="top"/>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Theme="minorEastAsia" w:hAnsiTheme="minorEastAsia" w:eastAsiaTheme="minorEastAsia" w:cstheme="minorEastAsia"/>
                <w:color w:val="auto"/>
                <w:spacing w:val="-6"/>
                <w:kern w:val="2"/>
                <w:sz w:val="21"/>
                <w:szCs w:val="21"/>
                <w:lang w:val="en-US" w:eastAsia="zh-CN" w:bidi="ar-SA"/>
              </w:rPr>
            </w:pPr>
            <w:r>
              <w:rPr>
                <w:rFonts w:hint="eastAsia" w:asciiTheme="minorEastAsia" w:hAnsiTheme="minorEastAsia" w:eastAsiaTheme="minorEastAsia" w:cstheme="minorEastAsia"/>
                <w:color w:val="auto"/>
                <w:spacing w:val="-6"/>
                <w:kern w:val="2"/>
                <w:sz w:val="21"/>
                <w:szCs w:val="21"/>
                <w:lang w:val="en-US" w:eastAsia="zh-CN" w:bidi="ar-SA"/>
              </w:rPr>
              <w:t>QEO</w:t>
            </w:r>
            <w:r>
              <w:rPr>
                <w:rFonts w:hint="default" w:asciiTheme="minorEastAsia" w:hAnsiTheme="minorEastAsia" w:eastAsiaTheme="minorEastAsia" w:cstheme="minorEastAsia"/>
                <w:color w:val="auto"/>
                <w:spacing w:val="-6"/>
                <w:kern w:val="2"/>
                <w:sz w:val="21"/>
                <w:szCs w:val="21"/>
                <w:lang w:val="en-US" w:eastAsia="zh-CN" w:bidi="ar-SA"/>
              </w:rPr>
              <w:t>:9.2</w:t>
            </w:r>
          </w:p>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Theme="minorEastAsia" w:hAnsiTheme="minorEastAsia" w:eastAsiaTheme="minorEastAsia" w:cstheme="minorEastAsia"/>
                <w:color w:val="auto"/>
                <w:spacing w:val="-6"/>
                <w:kern w:val="2"/>
                <w:sz w:val="21"/>
                <w:szCs w:val="21"/>
                <w:lang w:val="en-US" w:eastAsia="zh-CN" w:bidi="ar-SA"/>
              </w:rPr>
            </w:pPr>
            <w:r>
              <w:rPr>
                <w:rFonts w:hint="eastAsia" w:asciiTheme="minorEastAsia" w:hAnsiTheme="minorEastAsia" w:eastAsiaTheme="minorEastAsia" w:cstheme="minorEastAsia"/>
                <w:color w:val="auto"/>
                <w:spacing w:val="-6"/>
                <w:kern w:val="2"/>
                <w:sz w:val="21"/>
                <w:szCs w:val="21"/>
                <w:lang w:val="en-US" w:eastAsia="zh-CN" w:bidi="ar-SA"/>
              </w:rPr>
              <w:t>10.2</w:t>
            </w:r>
          </w:p>
        </w:tc>
        <w:tc>
          <w:tcPr>
            <w:tcW w:w="9774" w:type="dxa"/>
            <w:vAlign w:val="top"/>
          </w:tcPr>
          <w:p>
            <w:pPr>
              <w:pStyle w:val="2"/>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lang w:val="en-US" w:eastAsia="zh-CN"/>
              </w:rPr>
            </w:pPr>
            <w:r>
              <w:rPr>
                <w:rFonts w:hint="default"/>
                <w:lang w:val="en-US" w:eastAsia="zh-CN"/>
              </w:rPr>
              <w:t>制定有《内部审核程序》，有效文件；</w:t>
            </w:r>
          </w:p>
          <w:p>
            <w:pPr>
              <w:keepNext w:val="0"/>
              <w:keepLines w:val="0"/>
              <w:pageBreakBefore w:val="0"/>
              <w:widowControl w:val="0"/>
              <w:kinsoku/>
              <w:wordWrap/>
              <w:overflowPunct/>
              <w:topLinePunct w:val="0"/>
              <w:autoSpaceDE/>
              <w:autoSpaceDN/>
              <w:bidi w:val="0"/>
              <w:spacing w:after="0" w:line="360" w:lineRule="auto"/>
              <w:ind w:firstLine="420" w:firstLineChars="200"/>
              <w:rPr>
                <w:rFonts w:hint="eastAsia"/>
                <w:lang w:val="en-US" w:eastAsia="zh-CN"/>
              </w:rPr>
            </w:pPr>
            <w:r>
              <w:rPr>
                <w:rFonts w:hint="eastAsia"/>
                <w:lang w:val="en-US" w:eastAsia="zh-CN"/>
              </w:rPr>
              <w:t>2021年7月10-11日，对各部门进行了内审，保留了内审计划、内审记录、不符合报告、内审报告；内审覆盖了管理体系范围内的活动及标准的要求；</w:t>
            </w:r>
          </w:p>
          <w:p>
            <w:pPr>
              <w:keepNext w:val="0"/>
              <w:keepLines w:val="0"/>
              <w:pageBreakBefore w:val="0"/>
              <w:widowControl w:val="0"/>
              <w:kinsoku/>
              <w:wordWrap/>
              <w:overflowPunct/>
              <w:topLinePunct w:val="0"/>
              <w:autoSpaceDE/>
              <w:autoSpaceDN/>
              <w:bidi w:val="0"/>
              <w:spacing w:after="0" w:line="360" w:lineRule="auto"/>
              <w:ind w:firstLine="420" w:firstLineChars="200"/>
              <w:rPr>
                <w:rFonts w:hint="eastAsia"/>
                <w:lang w:val="en-US" w:eastAsia="zh-CN"/>
              </w:rPr>
            </w:pPr>
            <w:r>
              <w:rPr>
                <w:rFonts w:hint="eastAsia"/>
                <w:lang w:val="en-US" w:eastAsia="zh-CN"/>
              </w:rPr>
              <w:t>内审结论为：管理体系是符合三个标准要求的，也是符合相关法律、法规要求的。在管理体系运行的过程中，本公司认为是较适宜的、充分的，其运行是有较的。</w:t>
            </w:r>
          </w:p>
          <w:p>
            <w:pPr>
              <w:keepNext w:val="0"/>
              <w:keepLines w:val="0"/>
              <w:pageBreakBefore w:val="0"/>
              <w:widowControl w:val="0"/>
              <w:kinsoku/>
              <w:wordWrap/>
              <w:overflowPunct/>
              <w:topLinePunct w:val="0"/>
              <w:autoSpaceDE/>
              <w:autoSpaceDN/>
              <w:bidi w:val="0"/>
              <w:spacing w:after="0" w:line="360" w:lineRule="auto"/>
              <w:ind w:firstLine="420" w:firstLineChars="200"/>
              <w:rPr>
                <w:rFonts w:hint="default"/>
                <w:lang w:val="en-US" w:eastAsia="zh-CN"/>
              </w:rPr>
            </w:pPr>
            <w:r>
              <w:rPr>
                <w:rFonts w:hint="eastAsia"/>
                <w:lang w:val="en-US" w:eastAsia="zh-CN"/>
              </w:rPr>
              <w:t>本次内审开具不符合报告1份，已整改，有整改验收记录；</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color w:val="auto"/>
                <w:szCs w:val="22"/>
                <w:highlight w:val="none"/>
                <w:lang w:val="en-US" w:eastAsia="zh-CN"/>
              </w:rPr>
            </w:pPr>
            <w:r>
              <w:rPr>
                <w:rFonts w:hint="default" w:ascii="Times New Roman" w:hAnsi="Times New Roman" w:cs="Times New Roman"/>
                <w:color w:val="auto"/>
                <w:szCs w:val="22"/>
                <w:highlight w:val="none"/>
                <w:lang w:val="en-US" w:eastAsia="zh-CN"/>
              </w:rPr>
              <w:t xml:space="preserve">公司建立“不符合、纠正和预防措施控制程序”、“事故调查处理控制程序”，有效文件。 </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color w:val="auto"/>
                <w:szCs w:val="22"/>
                <w:highlight w:val="none"/>
                <w:lang w:val="en-US" w:eastAsia="zh-CN"/>
              </w:rPr>
            </w:pPr>
            <w:r>
              <w:rPr>
                <w:rFonts w:hint="default" w:ascii="Times New Roman" w:hAnsi="Times New Roman" w:cs="Times New Roman"/>
                <w:color w:val="auto"/>
                <w:szCs w:val="22"/>
                <w:highlight w:val="none"/>
                <w:lang w:val="en-US" w:eastAsia="zh-CN"/>
              </w:rPr>
              <w:t>对日常检查和内审、管理评审中提出的不合格项进行了原因分析，并策划纠正措施并实施，对所采取的纠正措施进行验证。</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color w:val="auto"/>
                <w:szCs w:val="22"/>
                <w:highlight w:val="none"/>
                <w:lang w:val="en-US" w:eastAsia="zh-CN"/>
              </w:rPr>
            </w:pPr>
            <w:r>
              <w:rPr>
                <w:rFonts w:hint="default" w:ascii="Times New Roman" w:hAnsi="Times New Roman" w:cs="Times New Roman"/>
                <w:color w:val="auto"/>
                <w:szCs w:val="22"/>
                <w:highlight w:val="none"/>
                <w:lang w:val="en-US" w:eastAsia="zh-CN"/>
              </w:rPr>
              <w:t>体系运行以来公司按照体系的要求，通过运行控制、加强培训，以及开展管理评审活动等方式采取预防措施，防止不符合/不合格的发生，不符合得到了有效控制。</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color w:val="auto"/>
                <w:szCs w:val="22"/>
                <w:highlight w:val="none"/>
                <w:lang w:val="en-US" w:eastAsia="zh-CN"/>
              </w:rPr>
            </w:pPr>
            <w:r>
              <w:rPr>
                <w:rFonts w:hint="default" w:ascii="Times New Roman" w:hAnsi="Times New Roman" w:cs="Times New Roman"/>
                <w:color w:val="auto"/>
                <w:szCs w:val="22"/>
                <w:highlight w:val="none"/>
                <w:lang w:val="en-US" w:eastAsia="zh-CN"/>
              </w:rPr>
              <w:t>公司成立以来没有发生重大质量事故和投诉处罚，没有发生环境、职业健康安全事件和投诉处罚。</w:t>
            </w:r>
          </w:p>
          <w:p>
            <w:pPr>
              <w:keepNext w:val="0"/>
              <w:keepLines w:val="0"/>
              <w:pageBreakBefore w:val="0"/>
              <w:widowControl w:val="0"/>
              <w:kinsoku/>
              <w:wordWrap/>
              <w:overflowPunct/>
              <w:topLinePunct w:val="0"/>
              <w:autoSpaceDE/>
              <w:autoSpaceDN/>
              <w:bidi w:val="0"/>
              <w:spacing w:after="0" w:line="360" w:lineRule="auto"/>
              <w:ind w:firstLine="420" w:firstLineChars="200"/>
              <w:rPr>
                <w:rFonts w:hint="default"/>
                <w:lang w:val="en-US" w:eastAsia="zh-CN"/>
              </w:rPr>
            </w:pPr>
            <w:r>
              <w:rPr>
                <w:rFonts w:hint="default" w:ascii="Times New Roman" w:hAnsi="Times New Roman" w:cs="Times New Roman"/>
                <w:color w:val="auto"/>
                <w:szCs w:val="22"/>
                <w:highlight w:val="none"/>
                <w:lang w:val="en-US" w:eastAsia="zh-CN"/>
              </w:rPr>
              <w:t>基本符合标准规定要求。</w:t>
            </w:r>
          </w:p>
        </w:tc>
        <w:tc>
          <w:tcPr>
            <w:tcW w:w="1585" w:type="dxa"/>
            <w:vAlign w:val="top"/>
          </w:tcPr>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default" w:ascii="Times New Roman" w:hAnsi="Times New Roman" w:eastAsia="宋体" w:cs="Times New Roman"/>
                <w:color w:val="auto"/>
                <w:kern w:val="2"/>
                <w:sz w:val="21"/>
                <w:lang w:val="en-US" w:eastAsia="zh-CN" w:bidi="ar-SA"/>
              </w:rPr>
            </w:pPr>
            <w:r>
              <w:rPr>
                <w:rFonts w:hint="default" w:ascii="Times New Roman" w:hAnsi="Times New Roman" w:cs="Times New Roman"/>
                <w:color w:val="auto"/>
                <w:lang w:val="en-US" w:eastAsia="zh-CN"/>
              </w:rPr>
              <w:t>Y</w:t>
            </w:r>
          </w:p>
        </w:tc>
      </w:tr>
    </w:tbl>
    <w:p>
      <w:r>
        <w:ptab w:relativeTo="margin" w:alignment="center" w:leader="none"/>
      </w:r>
    </w:p>
    <w:p/>
    <w:p>
      <w:pPr>
        <w:pStyle w:val="5"/>
      </w:pPr>
      <w:r>
        <w:rPr>
          <w:rFonts w:hint="eastAsia"/>
        </w:rPr>
        <w:t>说明：不符合标注N</w:t>
      </w:r>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mc:AlternateContent>
        <mc:Choice Requires="wps">
          <w:drawing>
            <wp:anchor distT="0" distB="0" distL="114300" distR="114300" simplePos="0" relativeHeight="251658240" behindDoc="0" locked="0" layoutInCell="1" allowOverlap="1">
              <wp:simplePos x="0" y="0"/>
              <wp:positionH relativeFrom="column">
                <wp:posOffset>7879080</wp:posOffset>
              </wp:positionH>
              <wp:positionV relativeFrom="paragraph">
                <wp:posOffset>159385</wp:posOffset>
              </wp:positionV>
              <wp:extent cx="1304290" cy="256540"/>
              <wp:effectExtent l="0" t="0" r="10160" b="10160"/>
              <wp:wrapNone/>
              <wp:docPr id="2" name="文本框 1"/>
              <wp:cNvGraphicFramePr/>
              <a:graphic xmlns:a="http://schemas.openxmlformats.org/drawingml/2006/main">
                <a:graphicData uri="http://schemas.microsoft.com/office/word/2010/wordprocessingShape">
                  <wps:wsp>
                    <wps:cNvSpPr txBox="1"/>
                    <wps:spPr>
                      <a:xfrm>
                        <a:off x="0" y="0"/>
                        <a:ext cx="1304290" cy="256540"/>
                      </a:xfrm>
                      <a:prstGeom prst="rect">
                        <a:avLst/>
                      </a:prstGeom>
                      <a:solidFill>
                        <a:srgbClr val="FFFFFF"/>
                      </a:solidFill>
                      <a:ln>
                        <a:noFill/>
                      </a:ln>
                    </wps:spPr>
                    <wps:txbx>
                      <w:txbxContent>
                        <w:p>
                          <w:pPr>
                            <w:rPr>
                              <w:rFonts w:hint="eastAsia"/>
                              <w:sz w:val="18"/>
                              <w:szCs w:val="18"/>
                            </w:rPr>
                          </w:pPr>
                          <w:r>
                            <w:rPr>
                              <w:rFonts w:hint="eastAsia"/>
                              <w:sz w:val="18"/>
                              <w:szCs w:val="18"/>
                            </w:rPr>
                            <w:t>ISC-B-II-12(05版）</w:t>
                          </w:r>
                        </w:p>
                      </w:txbxContent>
                    </wps:txbx>
                    <wps:bodyPr upright="1"/>
                  </wps:wsp>
                </a:graphicData>
              </a:graphic>
            </wp:anchor>
          </w:drawing>
        </mc:Choice>
        <mc:Fallback>
          <w:pict>
            <v:shape id="文本框 1" o:spid="_x0000_s1026" o:spt="202" type="#_x0000_t202" style="position:absolute;left:0pt;margin-left:620.4pt;margin-top:12.55pt;height:20.2pt;width:102.7pt;z-index:251658240;mso-width-relative:page;mso-height-relative:page;" fillcolor="#FFFFFF" filled="t" stroked="f" coordsize="21600,21600" o:gfxdata="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CQfhE2AAAAAsBAAAPAAAAAAAAAAEAIAAAACIAAABkcnMvZG93bnJldi54&#10;bWxQSwECFAAUAAAACACHTuJAhYp7ksEBAAB3AwAADgAAAAAAAAABACAAAAAnAQAAZHJzL2Uyb0Rv&#10;Yy54bWxQSwUGAAAAAAYABgBZAQAAWgUAAAAA&#10;">
              <v:fill on="t" focussize="0,0"/>
              <v:stroke on="f"/>
              <v:imagedata o:title=""/>
              <o:lock v:ext="edit" aspectratio="f"/>
              <v:textbox>
                <w:txbxContent>
                  <w:p>
                    <w:pPr>
                      <w:rPr>
                        <w:rFonts w:hint="eastAsia"/>
                        <w:sz w:val="18"/>
                        <w:szCs w:val="18"/>
                      </w:rPr>
                    </w:pPr>
                    <w:r>
                      <w:rPr>
                        <w:rFonts w:hint="eastAsia"/>
                        <w:sz w:val="18"/>
                        <w:szCs w:val="18"/>
                      </w:rPr>
                      <w:t>ISC-B-II-12(05版）</w:t>
                    </w:r>
                  </w:p>
                </w:txbxContent>
              </v:textbox>
            </v:shape>
          </w:pict>
        </mc:Fallback>
      </mc:AlternateContent>
    </w: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6"/>
      <w:pBdr>
        <w:bottom w:val="none" w:color="auto" w:sz="0" w:space="0"/>
      </w:pBdr>
      <w:spacing w:line="320" w:lineRule="exact"/>
      <w:ind w:firstLine="756" w:firstLineChars="400"/>
      <w:jc w:val="left"/>
    </w:pPr>
    <w:r>
      <w:rPr>
        <w:rStyle w:val="12"/>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396513B"/>
    <w:rsid w:val="2C43570F"/>
    <w:rsid w:val="38E4520A"/>
    <w:rsid w:val="472A29A8"/>
    <w:rsid w:val="5D1925EC"/>
    <w:rsid w:val="64C8126C"/>
    <w:rsid w:val="67787FA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Times New Roman" w:hAnsi="Times New Roman" w:eastAsia="宋体" w:cs="Times New Roman"/>
      <w:kern w:val="2"/>
      <w:sz w:val="21"/>
      <w:lang w:val="en-US" w:eastAsia="zh-CN" w:bidi="ar-SA"/>
    </w:rPr>
  </w:style>
  <w:style w:type="paragraph" w:styleId="3">
    <w:name w:val="heading 2"/>
    <w:basedOn w:val="1"/>
    <w:next w:val="1"/>
    <w:qFormat/>
    <w:uiPriority w:val="99"/>
    <w:pPr>
      <w:keepNext/>
      <w:jc w:val="center"/>
      <w:outlineLvl w:val="1"/>
    </w:pPr>
    <w:rPr>
      <w:rFonts w:ascii="宋体" w:hAnsi="宋体"/>
      <w:b/>
      <w:sz w:val="5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unhideWhenUsed/>
    <w:qFormat/>
    <w:uiPriority w:val="99"/>
    <w:pPr>
      <w:spacing w:after="120" w:afterLines="0" w:afterAutospacing="0"/>
      <w:ind w:firstLine="720" w:firstLineChars="200"/>
    </w:pPr>
    <w:rPr>
      <w:rFonts w:ascii="Times New Roman" w:hAnsi="Times New Roman" w:eastAsia="宋体" w:cs="Times New Roman"/>
      <w:sz w:val="21"/>
    </w:rPr>
  </w:style>
  <w:style w:type="paragraph" w:styleId="4">
    <w:name w:val="Balloon Text"/>
    <w:basedOn w:val="1"/>
    <w:link w:val="11"/>
    <w:semiHidden/>
    <w:unhideWhenUsed/>
    <w:qFormat/>
    <w:uiPriority w:val="99"/>
    <w:rPr>
      <w:sz w:val="18"/>
      <w:szCs w:val="18"/>
    </w:rPr>
  </w:style>
  <w:style w:type="paragraph" w:styleId="5">
    <w:name w:val="footer"/>
    <w:basedOn w:val="1"/>
    <w:link w:val="10"/>
    <w:unhideWhenUsed/>
    <w:qFormat/>
    <w:uiPriority w:val="99"/>
    <w:pPr>
      <w:tabs>
        <w:tab w:val="center" w:pos="4153"/>
        <w:tab w:val="right" w:pos="8306"/>
      </w:tabs>
      <w:snapToGrid w:val="0"/>
      <w:jc w:val="left"/>
    </w:pPr>
    <w:rPr>
      <w:sz w:val="18"/>
      <w:szCs w:val="18"/>
    </w:rPr>
  </w:style>
  <w:style w:type="paragraph" w:styleId="6">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9">
    <w:name w:val="页眉 字符"/>
    <w:basedOn w:val="8"/>
    <w:link w:val="6"/>
    <w:qFormat/>
    <w:uiPriority w:val="99"/>
    <w:rPr>
      <w:rFonts w:ascii="Times New Roman" w:hAnsi="Times New Roman" w:eastAsia="宋体" w:cs="Times New Roman"/>
      <w:sz w:val="18"/>
      <w:szCs w:val="18"/>
    </w:rPr>
  </w:style>
  <w:style w:type="character" w:customStyle="1" w:styleId="10">
    <w:name w:val="页脚 字符"/>
    <w:basedOn w:val="8"/>
    <w:link w:val="5"/>
    <w:qFormat/>
    <w:uiPriority w:val="99"/>
    <w:rPr>
      <w:rFonts w:ascii="Times New Roman" w:hAnsi="Times New Roman" w:eastAsia="宋体" w:cs="Times New Roman"/>
      <w:sz w:val="18"/>
      <w:szCs w:val="18"/>
    </w:rPr>
  </w:style>
  <w:style w:type="character" w:customStyle="1" w:styleId="11">
    <w:name w:val="批注框文本 字符"/>
    <w:basedOn w:val="8"/>
    <w:link w:val="4"/>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22</Words>
  <Characters>126</Characters>
  <Lines>1</Lines>
  <Paragraphs>1</Paragraphs>
  <TotalTime>21</TotalTime>
  <ScaleCrop>false</ScaleCrop>
  <LinksUpToDate>false</LinksUpToDate>
  <CharactersWithSpaces>147</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lenovo1018</cp:lastModifiedBy>
  <dcterms:modified xsi:type="dcterms:W3CDTF">2021-08-16T03:18:09Z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2052-11.1.0.10314</vt:lpwstr>
  </property>
</Properties>
</file>