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ind w:firstLine="3915" w:firstLineChars="1300"/>
        <w:jc w:val="both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江西三科检测有限公司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Q：34.02.00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O：34.02.00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auto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Q：34.02.00</w:t>
            </w:r>
          </w:p>
          <w:p>
            <w:pPr>
              <w:snapToGrid w:val="0"/>
              <w:spacing w:line="240" w:lineRule="auto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</w:t>
            </w:r>
          </w:p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O：34.02.00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文波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de-DE"/>
              </w:rPr>
              <w:t>褚敏杰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业务接单-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业务下单-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采样-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交样检测-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质量部编辑报告-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业务部发报告至客户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生产过程的风险主要是检测过程</w:t>
            </w:r>
            <w:bookmarkStart w:id="10" w:name="_GoBack"/>
            <w:bookmarkEnd w:id="10"/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，制定了检测过程各工序作业指导书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b/>
                <w:sz w:val="2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重要环境因素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危废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排放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废水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排放</w:t>
            </w:r>
            <w:r>
              <w:rPr>
                <w:rFonts w:hint="eastAsia" w:ascii="新宋体" w:hAnsi="新宋体" w:eastAsia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废气</w:t>
            </w:r>
            <w:r>
              <w:rPr>
                <w:rFonts w:hint="eastAsia" w:ascii="宋体" w:hAnsi="宋体"/>
                <w:sz w:val="21"/>
                <w:szCs w:val="21"/>
              </w:rPr>
              <w:t>排放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火灾</w:t>
            </w:r>
            <w:r>
              <w:rPr>
                <w:rFonts w:hint="eastAsia" w:ascii="新宋体" w:hAnsi="新宋体" w:eastAsia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危化品泄漏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制定了相应的管理方案和应急预案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不可接受风险清单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火灾、</w:t>
            </w:r>
            <w:r>
              <w:rPr>
                <w:rFonts w:hint="eastAsia"/>
                <w:bCs/>
                <w:spacing w:val="10"/>
                <w:sz w:val="21"/>
                <w:szCs w:val="21"/>
                <w:lang w:val="en-US" w:eastAsia="zh-CN"/>
              </w:rPr>
              <w:t>化学</w:t>
            </w: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伤害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触电、危化品泄漏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制定了相应的管理方案和应急预案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危险化学品安全管理条例、中华人民共和国职业病防治法、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环境空气质量标准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江西省环境污染防治条例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《环境监测分析方法标准制订技术导则》、《环境空气醛、酮类化合物的测定 溶液吸收-高效液相色谱法》、《土壤环境质量标准》等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检测按上述标准和检定规程进行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伍光华</w:t>
            </w:r>
            <w:bookmarkEnd w:id="9"/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2021.8.15</w:t>
            </w: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C016A2B"/>
    <w:rsid w:val="237F2473"/>
    <w:rsid w:val="47087F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2021-08-16T06:03:46Z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