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江西三科检测有限公司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Q：34.02.00</w:t>
            </w:r>
          </w:p>
          <w:p>
            <w:pPr>
              <w:snapToGrid w:val="0"/>
              <w:spacing w:line="240" w:lineRule="auto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文波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业务接单-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业务下单-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采样-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交样检测-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质量部编辑报告-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业务部发报告至客户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生产过程的风险主要是检测过程，制定了检测过程各工序作业指导书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b/>
                <w:sz w:val="2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重要环境因素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：</w:t>
            </w:r>
            <w:bookmarkStart w:id="10" w:name="_GoBack"/>
            <w:bookmarkEnd w:id="10"/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危废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排放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废水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排放</w:t>
            </w:r>
            <w:r>
              <w:rPr>
                <w:rFonts w:hint="eastAsia" w:ascii="新宋体" w:hAnsi="新宋体" w:eastAsia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废气</w:t>
            </w:r>
            <w:r>
              <w:rPr>
                <w:rFonts w:hint="eastAsia" w:ascii="宋体" w:hAnsi="宋体"/>
                <w:sz w:val="21"/>
                <w:szCs w:val="21"/>
              </w:rPr>
              <w:t>排放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火灾</w:t>
            </w:r>
            <w:r>
              <w:rPr>
                <w:rFonts w:hint="eastAsia" w:ascii="新宋体" w:hAnsi="新宋体" w:eastAsia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危化品泄漏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制定了相应的管理方案和应急预案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不可接受风险清单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火灾、</w:t>
            </w:r>
            <w:r>
              <w:rPr>
                <w:rFonts w:hint="eastAsia"/>
                <w:bCs/>
                <w:spacing w:val="10"/>
                <w:sz w:val="21"/>
                <w:szCs w:val="21"/>
                <w:lang w:val="en-US" w:eastAsia="zh-CN"/>
              </w:rPr>
              <w:t>化学</w:t>
            </w: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伤害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触电、危化品泄漏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制定了相应的管理方案和应急预案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危险化学品安全管理条例、中华人民共和国职业病防治法、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环境空气质量标准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江西省环境污染防治条例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《环境监测分析方法标准制订技术导则》、《环境空气醛、酮类化合物的测定 溶液吸收-高效液相色谱法》、《土壤环境质量标准》等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检测按上述标准和检定规程进行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伍光华</w:t>
            </w:r>
            <w:bookmarkEnd w:id="9"/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2021.8.13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D861AB5"/>
    <w:rsid w:val="345A7B29"/>
    <w:rsid w:val="7B5146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2021-08-16T06:03:14Z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