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主管领导：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胡锦萍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潘乾委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王宁敏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审核时间：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2021-8-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审核条款：5.3 组织的岗位、职责和权限、6.2 目标、能源指及其实现的策划、8.1 运行的策划和控制、10.1不符合与纠正措施；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组织的岗位、职责和权限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2.能源管理目标、指标及实现措施策划适宜性；、能源职责；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/6.2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 xml:space="preserve">：领导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胡锦萍</w:t>
            </w:r>
            <w:r>
              <w:rPr>
                <w:rFonts w:hint="eastAsia"/>
                <w:lang w:val="en-US" w:eastAsia="zh-CN"/>
              </w:rPr>
              <w:t>，共2人，岗位设置：经理、财务管理、会计核算、预算管理、财务分析、财务审核、成本管理、财务监督、资金运作、完成上级领导交办的其他任务</w:t>
            </w:r>
            <w:r>
              <w:rPr>
                <w:rFonts w:hint="eastAsia"/>
                <w:szCs w:val="22"/>
                <w:lang w:val="en-US" w:eastAsia="zh-CN"/>
              </w:rPr>
              <w:t>。提供财务部《工作责任制度》，含：财务部门负责人、出纳作业处理准则、会计核算基础工作规定、借款和各项费用开支标准及审批程序。</w:t>
            </w:r>
            <w:bookmarkStart w:id="0" w:name="_GoBack"/>
            <w:bookmarkEnd w:id="0"/>
          </w:p>
          <w:p>
            <w:pPr>
              <w:ind w:firstLine="42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Cs w:val="22"/>
                <w:lang w:val="en-US" w:eastAsia="zh-CN"/>
              </w:rPr>
              <w:t>能源管理目标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保证公司二个目标指标的完成，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1）轨道产品事业部目标≦1.81kgce/kg；</w:t>
            </w:r>
          </w:p>
          <w:p>
            <w:pPr>
              <w:pStyle w:val="2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2）电子产品事业部目标≦3.56kgce/kg。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查阅相关记录，财务管理全部完成。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>基本完成目标指标，保证了能源项目的资金。</w:t>
            </w:r>
          </w:p>
        </w:tc>
        <w:tc>
          <w:tcPr>
            <w:tcW w:w="1213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运行的策划和控制、能源资金的策划与控制8.1 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4.不符合与纠正措施。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8.1/</w:t>
            </w: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制度清单：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近年来节能项目情况：</w:t>
            </w:r>
            <w:r>
              <w:rPr>
                <w:rFonts w:hint="eastAsia"/>
                <w:lang w:val="en-US" w:eastAsia="zh-CN"/>
              </w:rPr>
              <w:t>提供《公司</w:t>
            </w:r>
            <w:r>
              <w:rPr>
                <w:rFonts w:hint="default"/>
                <w:lang w:val="en-US" w:eastAsia="zh-CN"/>
              </w:rPr>
              <w:t>近年来主要节能项目情况表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default"/>
                <w:lang w:val="en-US" w:eastAsia="zh-CN"/>
              </w:rPr>
              <w:t xml:space="preserve"> 单位：万元</w:t>
            </w:r>
            <w:r>
              <w:rPr>
                <w:rFonts w:hint="eastAsia"/>
                <w:lang w:val="en-US" w:eastAsia="zh-CN"/>
              </w:rPr>
              <w:t>。</w:t>
            </w:r>
          </w:p>
          <w:tbl>
            <w:tblPr>
              <w:tblStyle w:val="7"/>
              <w:tblW w:w="9388" w:type="dxa"/>
              <w:tblInd w:w="96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8"/>
              <w:gridCol w:w="1178"/>
              <w:gridCol w:w="906"/>
              <w:gridCol w:w="2493"/>
              <w:gridCol w:w="3063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预计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金额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已支付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金额</w:t>
                  </w:r>
                </w:p>
              </w:tc>
              <w:tc>
                <w:tcPr>
                  <w:tcW w:w="2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项目情况</w:t>
                  </w:r>
                </w:p>
              </w:tc>
              <w:tc>
                <w:tcPr>
                  <w:tcW w:w="3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现状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购买自动包装设备</w:t>
                  </w:r>
                </w:p>
              </w:tc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10~20万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可节省两个人工，可提高出货效率</w:t>
                  </w:r>
                </w:p>
              </w:tc>
              <w:tc>
                <w:tcPr>
                  <w:tcW w:w="30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目前已经完成选型和合同签署，即将设备进场和调试，预计2022年初可投入运行。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目前在能源方面的财务管理没有发生不符合。资金基本到位。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65760" cy="363220"/>
          <wp:effectExtent l="0" t="0" r="0" b="2540"/>
          <wp:wrapTight wrapText="bothSides">
            <wp:wrapPolygon>
              <wp:start x="5850" y="0"/>
              <wp:lineTo x="0" y="2719"/>
              <wp:lineTo x="0" y="16766"/>
              <wp:lineTo x="6300" y="21298"/>
              <wp:lineTo x="9450" y="21298"/>
              <wp:lineTo x="14400" y="21298"/>
              <wp:lineTo x="14850" y="21298"/>
              <wp:lineTo x="20700" y="14501"/>
              <wp:lineTo x="20700" y="5891"/>
              <wp:lineTo x="17550" y="2266"/>
              <wp:lineTo x="14400" y="0"/>
              <wp:lineTo x="585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EDD19"/>
    <w:multiLevelType w:val="singleLevel"/>
    <w:tmpl w:val="87FED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A6A04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B861E46"/>
    <w:rsid w:val="0D4B7644"/>
    <w:rsid w:val="108219C2"/>
    <w:rsid w:val="10D13291"/>
    <w:rsid w:val="129F789F"/>
    <w:rsid w:val="164B2EDE"/>
    <w:rsid w:val="19710579"/>
    <w:rsid w:val="25892989"/>
    <w:rsid w:val="2CA144B6"/>
    <w:rsid w:val="2ED812C3"/>
    <w:rsid w:val="44926E98"/>
    <w:rsid w:val="462B76C6"/>
    <w:rsid w:val="50A72012"/>
    <w:rsid w:val="51BE0628"/>
    <w:rsid w:val="53DB69BC"/>
    <w:rsid w:val="5BFD0207"/>
    <w:rsid w:val="5E781451"/>
    <w:rsid w:val="5EA12B9A"/>
    <w:rsid w:val="679F2C77"/>
    <w:rsid w:val="693A54C3"/>
    <w:rsid w:val="6BDC3E6A"/>
    <w:rsid w:val="6DE4169C"/>
    <w:rsid w:val="6EFB611E"/>
    <w:rsid w:val="72AD40DE"/>
    <w:rsid w:val="75D47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2021-08-17T02:09:04Z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