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37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汤友钱</w:t>
            </w:r>
            <w:r>
              <w:rPr>
                <w:sz w:val="24"/>
                <w:szCs w:val="24"/>
              </w:rPr>
              <w:t xml:space="preserve">        </w:t>
            </w:r>
            <w:r>
              <w:rPr>
                <w:rFonts w:hint="eastAsia"/>
                <w:sz w:val="24"/>
                <w:szCs w:val="24"/>
              </w:rPr>
              <w:t>陪同人员：</w:t>
            </w:r>
            <w:r>
              <w:rPr>
                <w:rFonts w:hint="eastAsia"/>
                <w:sz w:val="24"/>
                <w:szCs w:val="24"/>
                <w:lang w:val="en-US" w:eastAsia="zh-CN"/>
              </w:rPr>
              <w:t xml:space="preserve"> </w:t>
            </w:r>
            <w:r>
              <w:rPr>
                <w:rFonts w:hint="eastAsia"/>
                <w:color w:val="000000"/>
                <w:sz w:val="24"/>
                <w:szCs w:val="24"/>
                <w:lang w:val="en-US" w:eastAsia="zh-CN"/>
              </w:rPr>
              <w:t>潘乾委</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6"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sz w:val="24"/>
                <w:szCs w:val="24"/>
              </w:rPr>
              <w:t>审核员：</w:t>
            </w:r>
            <w:r>
              <w:rPr>
                <w:rFonts w:hint="eastAsia"/>
                <w:sz w:val="24"/>
                <w:szCs w:val="24"/>
                <w:lang w:val="en-US" w:eastAsia="zh-CN"/>
              </w:rPr>
              <w:t>王宁敏</w:t>
            </w:r>
            <w:r>
              <w:rPr>
                <w:sz w:val="24"/>
                <w:szCs w:val="24"/>
              </w:rPr>
              <w:t xml:space="preserve">       </w:t>
            </w:r>
            <w:r>
              <w:rPr>
                <w:rFonts w:hint="eastAsia"/>
                <w:sz w:val="24"/>
                <w:szCs w:val="24"/>
              </w:rPr>
              <w:t>审核时间：</w:t>
            </w:r>
            <w:r>
              <w:rPr>
                <w:rFonts w:hint="eastAsia"/>
                <w:sz w:val="24"/>
                <w:szCs w:val="24"/>
                <w:lang w:val="en-US" w:eastAsia="zh-CN"/>
              </w:rPr>
              <w:t>2021-08-16  13:30-18:00</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6" w:type="dxa"/>
            <w:vAlign w:val="center"/>
          </w:tcPr>
          <w:p>
            <w:pPr>
              <w:rPr>
                <w:sz w:val="24"/>
                <w:szCs w:val="24"/>
              </w:rPr>
            </w:pPr>
            <w:r>
              <w:rPr>
                <w:rFonts w:hint="eastAsia"/>
                <w:sz w:val="24"/>
                <w:szCs w:val="24"/>
              </w:rPr>
              <w:t>审核条款：</w:t>
            </w:r>
            <w:r>
              <w:rPr>
                <w:rFonts w:hint="eastAsia" w:ascii="宋体" w:hAnsi="宋体" w:eastAsia="宋体" w:cs="Times New Roman"/>
                <w:sz w:val="21"/>
                <w:szCs w:val="21"/>
                <w:lang w:val="en-US" w:eastAsia="zh-CN"/>
              </w:rPr>
              <w:t xml:space="preserve"> 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Pr>
          <w:p>
            <w:r>
              <w:rPr>
                <w:rFonts w:hint="eastAsia" w:ascii="Times New Roman" w:hAnsi="Times New Roman" w:cs="Times New Roman"/>
                <w:szCs w:val="22"/>
                <w:lang w:val="en-US" w:eastAsia="zh-CN"/>
              </w:rPr>
              <w:t>了解公司基本情况</w:t>
            </w:r>
          </w:p>
        </w:tc>
        <w:tc>
          <w:tcPr>
            <w:tcW w:w="960" w:type="dxa"/>
          </w:tcPr>
          <w:p/>
        </w:tc>
        <w:tc>
          <w:tcPr>
            <w:tcW w:w="10376" w:type="dxa"/>
          </w:tcPr>
          <w:p>
            <w:pPr>
              <w:ind w:firstLine="420" w:firstLineChars="200"/>
              <w:rPr>
                <w:rFonts w:hint="eastAsia"/>
                <w:lang w:val="en-US" w:eastAsia="zh-CN"/>
              </w:rPr>
            </w:pPr>
            <w:r>
              <w:rPr>
                <w:rFonts w:hint="eastAsia"/>
                <w:lang w:val="en-US" w:eastAsia="zh-CN"/>
              </w:rPr>
              <w:t>浙江天台祥和实业股份有限公司，始创于1986年，2017年9月4日在上海证券交易所挂牌上市，是一家集研发、生产和销售轨道扣件以及电子元器件配件的国家级高新技术企业。</w:t>
            </w:r>
          </w:p>
          <w:p>
            <w:pPr>
              <w:ind w:firstLine="420" w:firstLineChars="200"/>
              <w:rPr>
                <w:rFonts w:hint="eastAsia"/>
                <w:lang w:val="en-US" w:eastAsia="zh-CN"/>
              </w:rPr>
            </w:pPr>
            <w:r>
              <w:rPr>
                <w:rFonts w:hint="eastAsia"/>
                <w:lang w:val="en-US" w:eastAsia="zh-CN"/>
              </w:rPr>
              <w:t>公司负责和参与了多项国家行业标准的起草工作，目前拥有11项发明专利，18项实用新型专利。其中80年代研发成功的铝电解电容器用橡胶密封塞通过电子部国产化认证替代了日本进口，推动了我国电子元器件国产化；2005年参与铁科院客运专线扣件轨道联合研发项目，承担轨道扣件非金属部件研发任务，并产业化，打破了少数发达国家的技术垄断，为我国客运专线建设国产化作出积极贡献。</w:t>
            </w:r>
          </w:p>
          <w:p>
            <w:pPr>
              <w:ind w:firstLine="420" w:firstLineChars="200"/>
              <w:rPr>
                <w:rFonts w:hint="eastAsia"/>
                <w:lang w:val="en-US" w:eastAsia="zh-CN"/>
              </w:rPr>
            </w:pPr>
            <w:r>
              <w:rPr>
                <w:rFonts w:hint="eastAsia"/>
                <w:lang w:val="en-US" w:eastAsia="zh-CN"/>
              </w:rPr>
              <w:t>营业执照注册地址：天台县赤城街道人民东路799号。</w:t>
            </w:r>
          </w:p>
          <w:p>
            <w:pPr>
              <w:ind w:firstLine="420" w:firstLineChars="200"/>
              <w:rPr>
                <w:rFonts w:hint="eastAsia"/>
                <w:lang w:val="en-US" w:eastAsia="zh-CN"/>
              </w:rPr>
            </w:pPr>
            <w:r>
              <w:rPr>
                <w:rFonts w:hint="eastAsia"/>
                <w:lang w:val="en-US" w:eastAsia="zh-CN"/>
              </w:rPr>
              <w:t>经营地址：浙江省台州市天台县赤城街道人民东路799号/浙江省台州市天台县始丰街道永兴路63号，与生产或服务现场一致。</w:t>
            </w:r>
          </w:p>
          <w:p>
            <w:pPr>
              <w:ind w:firstLine="420" w:firstLineChars="200"/>
              <w:rPr>
                <w:rFonts w:hint="eastAsia"/>
                <w:lang w:val="en-US" w:eastAsia="zh-CN"/>
              </w:rPr>
            </w:pPr>
            <w:r>
              <w:rPr>
                <w:rFonts w:hint="eastAsia"/>
                <w:lang w:val="en-US" w:eastAsia="zh-CN"/>
              </w:rPr>
              <w:t>能源管理体系覆盖的人数总计 100 人，与认证申请一致。</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21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理解组织及其所处的环境</w:t>
            </w:r>
            <w:r>
              <w:rPr>
                <w:rFonts w:hint="eastAsia" w:ascii="宋体" w:hAnsi="宋体" w:cs="Times New Roman"/>
                <w:sz w:val="21"/>
                <w:szCs w:val="21"/>
                <w:lang w:val="en-US" w:eastAsia="zh-CN"/>
              </w:rPr>
              <w:t>，</w:t>
            </w:r>
          </w:p>
          <w:p>
            <w:pPr>
              <w:rPr>
                <w:rFonts w:hint="default"/>
                <w:lang w:val="en-US"/>
              </w:rPr>
            </w:pPr>
            <w:r>
              <w:rPr>
                <w:rFonts w:hint="eastAsia" w:ascii="宋体" w:hAnsi="宋体" w:eastAsia="宋体" w:cs="Times New Roman"/>
                <w:sz w:val="21"/>
                <w:szCs w:val="21"/>
                <w:lang w:val="en-US" w:eastAsia="zh-CN"/>
              </w:rPr>
              <w:t>理解相关方的需求和期望</w:t>
            </w:r>
          </w:p>
        </w:tc>
        <w:tc>
          <w:tcPr>
            <w:tcW w:w="960" w:type="dxa"/>
          </w:tcPr>
          <w:p>
            <w:pPr>
              <w:rPr>
                <w:rFonts w:hint="default"/>
                <w:lang w:val="en-US"/>
              </w:rPr>
            </w:pP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lang w:val="en-US" w:eastAsia="zh-CN"/>
              </w:rPr>
            </w:pPr>
            <w:r>
              <w:rPr>
                <w:rFonts w:hint="default"/>
                <w:lang w:val="en-US" w:eastAsia="zh-CN"/>
              </w:rPr>
              <w:t>公司制订发展规划，分析确定与公司发展战略方向相关并影响实现预期结果的各种内部和外部因素，认为外因主要是：国内外宏观经济形势；国家及当地政策；行业技术水平；法律法规；能源供应，安全性、可靠性；</w:t>
            </w:r>
          </w:p>
          <w:p>
            <w:pPr>
              <w:jc w:val="left"/>
              <w:rPr>
                <w:rFonts w:hint="default"/>
                <w:lang w:val="en-US" w:eastAsia="zh-CN"/>
              </w:rPr>
            </w:pPr>
            <w:r>
              <w:rPr>
                <w:rFonts w:hint="default"/>
                <w:lang w:val="en-US" w:eastAsia="zh-CN"/>
              </w:rPr>
              <w:t>相关方；竞争对手；天气影响等等。</w:t>
            </w:r>
          </w:p>
          <w:p>
            <w:pPr>
              <w:ind w:firstLine="420" w:firstLineChars="200"/>
              <w:jc w:val="left"/>
              <w:rPr>
                <w:rFonts w:hint="default"/>
                <w:lang w:val="en-US" w:eastAsia="zh-CN"/>
              </w:rPr>
            </w:pPr>
            <w:r>
              <w:rPr>
                <w:rFonts w:hint="default"/>
                <w:lang w:val="en-US" w:eastAsia="zh-CN"/>
              </w:rPr>
              <w:t xml:space="preserve">内因主要是：核心业务目标和战略；资产管理计划；影响组织的财力资源（人力、财力等）；能源管理的成熟度和文化；可持续发展方面的考虑；能源供应中断的应急计划；当前技术的成熟度；运营风险和责任方面的考虑。 </w:t>
            </w:r>
          </w:p>
          <w:p>
            <w:pPr>
              <w:ind w:firstLine="420" w:firstLineChars="200"/>
              <w:jc w:val="left"/>
              <w:rPr>
                <w:rFonts w:hint="eastAsia"/>
                <w:lang w:val="en-US" w:eastAsia="zh-CN"/>
              </w:rPr>
            </w:pPr>
            <w:r>
              <w:rPr>
                <w:rFonts w:hint="default"/>
                <w:lang w:val="en-US" w:eastAsia="zh-CN"/>
              </w:rPr>
              <w:t>公司还确定了与能源绩效和能源管理体系有关的相关方，识别相关方的有关需求和期望，制订出双方共赢的发展方案。</w:t>
            </w:r>
            <w:r>
              <w:rPr>
                <w:rFonts w:hint="eastAsia"/>
                <w:lang w:val="en-US" w:eastAsia="zh-CN"/>
              </w:rPr>
              <w:t>公司的相关方有：识别的能源管理体系相关方为：顾客、供应商、员工、审核方、政府机构等。</w:t>
            </w:r>
          </w:p>
          <w:p>
            <w:pPr>
              <w:ind w:firstLine="420" w:firstLineChars="200"/>
              <w:jc w:val="left"/>
              <w:rPr>
                <w:rFonts w:hint="eastAsia" w:eastAsia="宋体"/>
                <w:lang w:val="en-US" w:eastAsia="zh-CN"/>
              </w:rPr>
            </w:pPr>
            <w:r>
              <w:rPr>
                <w:rFonts w:hint="eastAsia"/>
                <w:lang w:val="en-US" w:eastAsia="zh-CN"/>
              </w:rPr>
              <w:t>公司每年都对相关方客及其要求评审一次，发生变化时，采取措施应对</w:t>
            </w:r>
            <w:r>
              <w:rPr>
                <w:rFonts w:hint="eastAsia"/>
                <w:kern w:val="0"/>
                <w:szCs w:val="21"/>
                <w:lang w:val="en-US" w:eastAsia="zh-CN"/>
              </w:rPr>
              <w:t>等。</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r>
              <w:rPr>
                <w:rFonts w:hint="eastAsia" w:ascii="宋体" w:hAnsi="宋体" w:eastAsia="宋体" w:cs="Times New Roman"/>
                <w:sz w:val="21"/>
                <w:szCs w:val="21"/>
                <w:lang w:val="en-US" w:eastAsia="zh-CN"/>
              </w:rPr>
              <w:t>确定能源管理体系的范围</w:t>
            </w:r>
          </w:p>
        </w:tc>
        <w:tc>
          <w:tcPr>
            <w:tcW w:w="960" w:type="dxa"/>
          </w:tcPr>
          <w:p>
            <w:pPr>
              <w:rPr>
                <w:rFonts w:hint="eastAsia" w:eastAsia="宋体"/>
                <w:lang w:eastAsia="zh-CN"/>
              </w:rPr>
            </w:pPr>
            <w:r>
              <w:rPr>
                <w:rFonts w:hint="eastAsia" w:ascii="宋体" w:hAnsi="宋体" w:cs="Times New Roman"/>
                <w:sz w:val="21"/>
                <w:szCs w:val="21"/>
                <w:lang w:val="en-US" w:eastAsia="zh-CN"/>
              </w:rPr>
              <w:t>4</w:t>
            </w:r>
            <w:r>
              <w:rPr>
                <w:rFonts w:hint="eastAsia" w:ascii="宋体" w:hAnsi="宋体" w:eastAsia="宋体" w:cs="Times New Roman"/>
                <w:sz w:val="21"/>
                <w:szCs w:val="21"/>
              </w:rPr>
              <w:t>.</w:t>
            </w:r>
            <w:r>
              <w:rPr>
                <w:rFonts w:hint="eastAsia" w:ascii="宋体" w:hAnsi="宋体" w:cs="Times New Roman"/>
                <w:sz w:val="21"/>
                <w:szCs w:val="21"/>
                <w:lang w:val="en-US" w:eastAsia="zh-CN"/>
              </w:rPr>
              <w:t>3</w:t>
            </w:r>
          </w:p>
        </w:tc>
        <w:tc>
          <w:tcPr>
            <w:tcW w:w="10376" w:type="dxa"/>
          </w:tcPr>
          <w:p>
            <w:pPr>
              <w:ind w:firstLine="420" w:firstLineChars="200"/>
              <w:rPr>
                <w:rFonts w:hint="eastAsia"/>
                <w:lang w:val="en-US" w:eastAsia="zh-CN"/>
              </w:rPr>
            </w:pPr>
            <w:r>
              <w:rPr>
                <w:rFonts w:hint="eastAsia"/>
                <w:lang w:val="en-US" w:eastAsia="zh-CN"/>
              </w:rPr>
              <w:t>公司能源管理体系的边界和范围：</w:t>
            </w:r>
          </w:p>
          <w:p>
            <w:pPr>
              <w:ind w:firstLine="420" w:firstLineChars="200"/>
              <w:rPr>
                <w:rFonts w:hint="eastAsia"/>
                <w:lang w:val="en-US" w:eastAsia="zh-CN"/>
              </w:rPr>
            </w:pPr>
            <w:r>
              <w:rPr>
                <w:rFonts w:hint="eastAsia"/>
                <w:lang w:val="en-US" w:eastAsia="zh-CN"/>
              </w:rPr>
              <w:t>浙江天台祥和实业股份有限公司的电容器橡胶密封制品、电子元器件用塑料底座的生产、铁路轨道扣件用非金属类部件的设计和生产相关的能源管理活。</w:t>
            </w:r>
          </w:p>
          <w:p>
            <w:pPr>
              <w:ind w:firstLine="420" w:firstLineChars="200"/>
              <w:rPr>
                <w:rFonts w:hint="default" w:eastAsia="宋体"/>
                <w:lang w:val="en-US" w:eastAsia="zh-CN"/>
              </w:rPr>
            </w:pPr>
            <w:r>
              <w:rPr>
                <w:rFonts w:hint="eastAsia"/>
                <w:lang w:val="en-US" w:eastAsia="zh-CN"/>
              </w:rPr>
              <w:t>核算边界：位于浙江省台州市天台县赤城街道人民东路799号和浙江省台州市天台县始丰街道永兴路63号的浙江天台祥和实业股份有限公司的电容器橡胶密封制品、电子元器件用塑料底座的生产、铁路轨道扣件用非金属类部件的设计和生产相关的能源管理活动，该活动涵盖了能源购入、转换、输送、使用所涉及的生产系统、辅助生产系统和附属生产系统活动全过程。</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能源管理体系的建立与策划</w:t>
            </w:r>
          </w:p>
        </w:tc>
        <w:tc>
          <w:tcPr>
            <w:tcW w:w="960" w:type="dxa"/>
          </w:tcPr>
          <w:p>
            <w:pPr>
              <w:rPr>
                <w:rFonts w:hint="default" w:ascii="宋体" w:hAnsi="宋体" w:cs="Times New Roman"/>
                <w:sz w:val="21"/>
                <w:szCs w:val="21"/>
                <w:lang w:val="en-US" w:eastAsia="zh-CN"/>
              </w:rPr>
            </w:pPr>
            <w:r>
              <w:rPr>
                <w:rFonts w:hint="eastAsia" w:ascii="宋体" w:hAnsi="宋体" w:cs="Times New Roman"/>
                <w:sz w:val="21"/>
                <w:szCs w:val="21"/>
                <w:lang w:val="en-US" w:eastAsia="zh-CN"/>
              </w:rPr>
              <w:t>4.4</w:t>
            </w:r>
          </w:p>
        </w:tc>
        <w:tc>
          <w:tcPr>
            <w:tcW w:w="10376" w:type="dxa"/>
          </w:tcPr>
          <w:p>
            <w:pPr>
              <w:ind w:firstLine="400" w:firstLineChars="200"/>
              <w:rPr>
                <w:rFonts w:hint="eastAsia"/>
                <w:sz w:val="20"/>
                <w:lang w:val="en-US" w:eastAsia="zh-CN"/>
              </w:rPr>
            </w:pPr>
            <w:r>
              <w:rPr>
                <w:rFonts w:hint="eastAsia"/>
                <w:sz w:val="20"/>
                <w:lang w:val="en-US" w:eastAsia="zh-CN"/>
              </w:rPr>
              <w:t>公司总经理</w:t>
            </w:r>
            <w:r>
              <w:rPr>
                <w:rFonts w:hint="eastAsia"/>
                <w:b/>
                <w:bCs/>
                <w:sz w:val="20"/>
                <w:lang w:val="en-US" w:eastAsia="zh-CN"/>
              </w:rPr>
              <w:t>汤友钱</w:t>
            </w:r>
            <w:r>
              <w:rPr>
                <w:rFonts w:hint="eastAsia"/>
                <w:sz w:val="20"/>
                <w:lang w:val="en-US" w:eastAsia="zh-CN"/>
              </w:rPr>
              <w:t>重视节能降耗工作，任命副总经理</w:t>
            </w:r>
            <w:r>
              <w:rPr>
                <w:rFonts w:hint="eastAsia"/>
                <w:b/>
                <w:bCs/>
                <w:sz w:val="20"/>
                <w:lang w:val="en-US" w:eastAsia="zh-CN"/>
              </w:rPr>
              <w:t>崔海珍</w:t>
            </w:r>
            <w:r>
              <w:rPr>
                <w:rFonts w:hint="eastAsia"/>
                <w:sz w:val="20"/>
                <w:lang w:val="en-US" w:eastAsia="zh-CN"/>
              </w:rPr>
              <w:t>为能源体系管理者代表，具体负责能源管理工作。为了系统高效地开展节约能源工作，使公司原有的节能管理更加系统化、规范化、标准化，公司根据GB/T 23332-2020 idt ISO 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1月1日正式实施运行以来，至今已取得较好的能源绩效 。</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领导作用和承诺</w:t>
            </w:r>
          </w:p>
        </w:tc>
        <w:tc>
          <w:tcPr>
            <w:tcW w:w="9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 xml:space="preserve">5.1 </w:t>
            </w:r>
          </w:p>
        </w:tc>
        <w:tc>
          <w:tcPr>
            <w:tcW w:w="10376" w:type="dxa"/>
          </w:tcPr>
          <w:p>
            <w:pPr>
              <w:ind w:firstLine="400" w:firstLineChars="200"/>
              <w:rPr>
                <w:rFonts w:hint="eastAsia"/>
                <w:sz w:val="20"/>
                <w:lang w:val="en-US" w:eastAsia="zh-CN"/>
              </w:rPr>
            </w:pPr>
            <w:r>
              <w:rPr>
                <w:rFonts w:hint="eastAsia"/>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能源方针</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5.2 </w:t>
            </w:r>
          </w:p>
        </w:tc>
        <w:tc>
          <w:tcPr>
            <w:tcW w:w="10376" w:type="dxa"/>
          </w:tcPr>
          <w:p>
            <w:pPr>
              <w:ind w:firstLine="400" w:firstLineChars="200"/>
              <w:rPr>
                <w:rFonts w:hint="eastAsia"/>
                <w:sz w:val="20"/>
                <w:lang w:val="en-US" w:eastAsia="zh-CN"/>
              </w:rPr>
            </w:pPr>
            <w:r>
              <w:rPr>
                <w:rFonts w:hint="eastAsia"/>
                <w:sz w:val="20"/>
                <w:lang w:val="en-US" w:eastAsia="zh-CN"/>
              </w:rPr>
              <w:t xml:space="preserve">公司能源管理方针： </w:t>
            </w:r>
          </w:p>
          <w:p>
            <w:pPr>
              <w:ind w:firstLine="402" w:firstLineChars="200"/>
              <w:rPr>
                <w:rFonts w:hint="eastAsia"/>
                <w:b/>
                <w:bCs/>
                <w:sz w:val="20"/>
                <w:lang w:val="en-US" w:eastAsia="zh-CN"/>
              </w:rPr>
            </w:pPr>
            <w:r>
              <w:rPr>
                <w:rFonts w:hint="eastAsia"/>
                <w:b/>
                <w:bCs/>
                <w:sz w:val="20"/>
                <w:lang w:val="en-US" w:eastAsia="zh-CN"/>
              </w:rPr>
              <w:t>严格贯彻节能法律法规，履行节能降耗相关要求；</w:t>
            </w:r>
          </w:p>
          <w:p>
            <w:pPr>
              <w:ind w:firstLine="402" w:firstLineChars="200"/>
              <w:rPr>
                <w:rFonts w:hint="eastAsia"/>
                <w:b/>
                <w:bCs/>
                <w:sz w:val="20"/>
                <w:lang w:val="en-US" w:eastAsia="zh-CN"/>
              </w:rPr>
            </w:pPr>
            <w:r>
              <w:rPr>
                <w:rFonts w:hint="eastAsia"/>
                <w:b/>
                <w:bCs/>
                <w:sz w:val="20"/>
                <w:lang w:val="en-US" w:eastAsia="zh-CN"/>
              </w:rPr>
              <w:t>提供资源促进节能进步，持续改进能源管理绩效；</w:t>
            </w:r>
          </w:p>
          <w:p>
            <w:pPr>
              <w:ind w:firstLine="402" w:firstLineChars="200"/>
              <w:rPr>
                <w:rFonts w:hint="eastAsia"/>
                <w:sz w:val="20"/>
                <w:lang w:val="en-US" w:eastAsia="zh-CN"/>
              </w:rPr>
            </w:pPr>
            <w:r>
              <w:rPr>
                <w:rFonts w:hint="eastAsia"/>
                <w:b/>
                <w:bCs/>
                <w:sz w:val="20"/>
                <w:lang w:val="en-US" w:eastAsia="zh-CN"/>
              </w:rPr>
              <w:t>形成节能降耗长效机制，构建节约环保绿色企业。</w:t>
            </w:r>
          </w:p>
          <w:p>
            <w:pPr>
              <w:ind w:firstLine="400" w:firstLineChars="200"/>
              <w:rPr>
                <w:rFonts w:hint="default"/>
                <w:sz w:val="20"/>
                <w:lang w:val="en-US" w:eastAsia="zh-CN"/>
              </w:rPr>
            </w:pPr>
            <w:r>
              <w:rPr>
                <w:rFonts w:hint="eastAsia"/>
                <w:sz w:val="20"/>
                <w:lang w:val="en-US" w:eastAsia="zh-CN"/>
              </w:rPr>
              <w:t>能源方针内容基本符合标准要求和企业实际。能源方针由总经理批准发布，以书面、电子媒介、宣传栏等方式，便于员工、顾客及其他相关方所获取，并且予以评审。</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组织的岗位、职责和权限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5.3 </w:t>
            </w:r>
          </w:p>
        </w:tc>
        <w:tc>
          <w:tcPr>
            <w:tcW w:w="10376" w:type="dxa"/>
          </w:tcPr>
          <w:p>
            <w:pPr>
              <w:ind w:firstLine="400" w:firstLineChars="200"/>
              <w:rPr>
                <w:rFonts w:hint="default"/>
                <w:sz w:val="20"/>
                <w:lang w:val="en-US" w:eastAsia="zh-CN"/>
              </w:rPr>
            </w:pPr>
            <w:r>
              <w:rPr>
                <w:rFonts w:hint="eastAsia"/>
                <w:sz w:val="20"/>
                <w:lang w:val="en-US" w:eastAsia="zh-CN"/>
              </w:rPr>
              <w:t>公司成立能源管理工作小组，</w:t>
            </w:r>
            <w:r>
              <w:rPr>
                <w:rFonts w:hint="eastAsia" w:ascii="宋体" w:hAnsi="宋体" w:cs="宋体"/>
                <w:szCs w:val="21"/>
              </w:rPr>
              <w:t>工作组组长：</w:t>
            </w:r>
            <w:r>
              <w:rPr>
                <w:rFonts w:hint="eastAsia"/>
                <w:sz w:val="20"/>
                <w:lang w:val="en-US" w:eastAsia="zh-CN"/>
              </w:rPr>
              <w:t>崔海珍;</w:t>
            </w:r>
          </w:p>
          <w:p>
            <w:pPr>
              <w:ind w:firstLine="400" w:firstLineChars="200"/>
              <w:rPr>
                <w:rFonts w:hint="eastAsia"/>
                <w:sz w:val="20"/>
                <w:lang w:val="en-US" w:eastAsia="zh-CN"/>
              </w:rPr>
            </w:pPr>
            <w:r>
              <w:rPr>
                <w:rFonts w:hint="eastAsia"/>
                <w:sz w:val="20"/>
                <w:lang w:val="en-US" w:eastAsia="zh-CN"/>
              </w:rPr>
              <w:t xml:space="preserve">具体负责以下工作： </w:t>
            </w:r>
          </w:p>
          <w:p>
            <w:pPr>
              <w:ind w:firstLine="400" w:firstLineChars="200"/>
              <w:rPr>
                <w:rFonts w:hint="eastAsia"/>
                <w:sz w:val="20"/>
                <w:lang w:val="en-US" w:eastAsia="zh-CN"/>
              </w:rPr>
            </w:pPr>
            <w:r>
              <w:rPr>
                <w:rFonts w:hint="eastAsia"/>
                <w:sz w:val="20"/>
                <w:lang w:val="en-US" w:eastAsia="zh-CN"/>
              </w:rPr>
              <w:t xml:space="preserve">1）协助管理者代表按标准要求建立、实施、保持和持续改进能源管理体系； </w:t>
            </w:r>
          </w:p>
          <w:p>
            <w:pPr>
              <w:ind w:firstLine="400" w:firstLineChars="200"/>
              <w:rPr>
                <w:rFonts w:hint="eastAsia"/>
                <w:sz w:val="20"/>
                <w:lang w:val="en-US" w:eastAsia="zh-CN"/>
              </w:rPr>
            </w:pPr>
            <w:r>
              <w:rPr>
                <w:rFonts w:hint="eastAsia"/>
                <w:sz w:val="20"/>
                <w:lang w:val="en-US" w:eastAsia="zh-CN"/>
              </w:rPr>
              <w:t xml:space="preserve">2）向管理者代表报告能源绩效和能源管理体系运行情况； </w:t>
            </w:r>
          </w:p>
          <w:p>
            <w:pPr>
              <w:ind w:firstLine="400" w:firstLineChars="200"/>
              <w:rPr>
                <w:rFonts w:hint="eastAsia"/>
                <w:sz w:val="20"/>
                <w:lang w:val="en-US" w:eastAsia="zh-CN"/>
              </w:rPr>
            </w:pPr>
            <w:r>
              <w:rPr>
                <w:rFonts w:hint="eastAsia"/>
                <w:sz w:val="20"/>
                <w:lang w:val="en-US" w:eastAsia="zh-CN"/>
              </w:rPr>
              <w:t>3）协助管理者代表策划有效的能源管理活动（包括能源评审、能源基准、能源绩效参数、能源目标指标和管理方案），以落实能源方针；</w:t>
            </w:r>
          </w:p>
          <w:p>
            <w:pPr>
              <w:ind w:firstLine="400" w:firstLineChars="200"/>
              <w:rPr>
                <w:rFonts w:hint="eastAsia"/>
                <w:sz w:val="20"/>
                <w:lang w:val="en-US" w:eastAsia="zh-CN"/>
              </w:rPr>
            </w:pPr>
            <w:r>
              <w:rPr>
                <w:rFonts w:hint="eastAsia"/>
                <w:sz w:val="20"/>
                <w:lang w:val="en-US" w:eastAsia="zh-CN"/>
              </w:rPr>
              <w:t xml:space="preserve">4）负责能源绩效的监测、合规性评价工作； </w:t>
            </w:r>
          </w:p>
          <w:p>
            <w:pPr>
              <w:ind w:firstLine="400" w:firstLineChars="200"/>
              <w:rPr>
                <w:rFonts w:hint="eastAsia"/>
                <w:sz w:val="20"/>
                <w:lang w:val="en-US" w:eastAsia="zh-CN"/>
              </w:rPr>
            </w:pPr>
            <w:r>
              <w:rPr>
                <w:rFonts w:hint="eastAsia"/>
                <w:sz w:val="20"/>
                <w:lang w:val="en-US" w:eastAsia="zh-CN"/>
              </w:rPr>
              <w:t xml:space="preserve">5）帮助全体员工提高对能源方针、能源目标的认识； </w:t>
            </w:r>
          </w:p>
          <w:p>
            <w:pPr>
              <w:ind w:firstLine="400" w:firstLineChars="200"/>
              <w:rPr>
                <w:rFonts w:hint="eastAsia"/>
                <w:sz w:val="20"/>
                <w:lang w:val="en-US" w:eastAsia="zh-CN"/>
              </w:rPr>
            </w:pPr>
            <w:r>
              <w:rPr>
                <w:rFonts w:hint="eastAsia"/>
                <w:sz w:val="20"/>
                <w:lang w:val="en-US" w:eastAsia="zh-CN"/>
              </w:rPr>
              <w:t xml:space="preserve">6）协助各部门的能源管理工作，推动能源管理有效运行； </w:t>
            </w:r>
          </w:p>
          <w:p>
            <w:pPr>
              <w:ind w:firstLine="400" w:firstLineChars="200"/>
              <w:rPr>
                <w:rFonts w:hint="eastAsia"/>
                <w:sz w:val="20"/>
                <w:lang w:val="en-US" w:eastAsia="zh-CN"/>
              </w:rPr>
            </w:pPr>
            <w:r>
              <w:rPr>
                <w:rFonts w:hint="eastAsia"/>
                <w:sz w:val="20"/>
                <w:lang w:val="en-US" w:eastAsia="zh-CN"/>
              </w:rPr>
              <w:t>7）制定能够确保能源管理体系有效性控制和运行的准则和方法。</w:t>
            </w:r>
          </w:p>
          <w:p>
            <w:pPr>
              <w:ind w:firstLine="400" w:firstLineChars="200"/>
              <w:rPr>
                <w:rFonts w:hint="eastAsia"/>
                <w:sz w:val="20"/>
                <w:lang w:val="en-US" w:eastAsia="zh-CN"/>
              </w:rPr>
            </w:pPr>
            <w:r>
              <w:rPr>
                <w:rFonts w:hint="eastAsia"/>
                <w:sz w:val="20"/>
                <w:lang w:val="en-US" w:eastAsia="zh-CN"/>
              </w:rPr>
              <w:t>公司设有人力资源部、轨道产品事业部、电子产品事业部</w:t>
            </w:r>
            <w:r>
              <w:rPr>
                <w:rFonts w:hint="eastAsia"/>
                <w:sz w:val="20"/>
                <w:lang w:val="en-US" w:eastAsia="zh-CN"/>
              </w:rPr>
              <w:tab/>
            </w:r>
            <w:r>
              <w:rPr>
                <w:rFonts w:hint="eastAsia"/>
                <w:sz w:val="20"/>
                <w:lang w:val="en-US" w:eastAsia="zh-CN"/>
              </w:rPr>
              <w:t>财务部、供应部、研究院等，从管理层到各部门、各岗位能源职责权限均以文件化予以规定（在《能源管理手册》5.3条款中予以规定），编审批齐全。</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应对风险和机遇的措施</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6.1</w:t>
            </w:r>
          </w:p>
        </w:tc>
        <w:tc>
          <w:tcPr>
            <w:tcW w:w="10376" w:type="dxa"/>
          </w:tcPr>
          <w:p>
            <w:pPr>
              <w:ind w:firstLine="400" w:firstLineChars="200"/>
              <w:rPr>
                <w:rFonts w:hint="eastAsia"/>
                <w:sz w:val="20"/>
                <w:lang w:val="en-US" w:eastAsia="zh-CN"/>
              </w:rPr>
            </w:pPr>
            <w:r>
              <w:rPr>
                <w:rFonts w:hint="eastAsia"/>
                <w:sz w:val="20"/>
                <w:lang w:val="en-US" w:eastAsia="zh-CN"/>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sz w:val="20"/>
                <w:lang w:val="en-US" w:eastAsia="zh-CN"/>
              </w:rPr>
            </w:pPr>
            <w:r>
              <w:rPr>
                <w:rFonts w:hint="eastAsia"/>
                <w:sz w:val="20"/>
                <w:lang w:val="en-US" w:eastAsia="zh-CN"/>
              </w:rPr>
              <w:t>策划能源管理体系时，应考虑应对风险和机遇，并对影响能源绩效的组织活动和过程进行评审。策划应与能源方针保持一致，并应形成持续改进能源绩效的措施。应确定需要应对的风险和机遇，组织已策划了《风险和机遇的应对控制程序》。</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资源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7.1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本公司注册资金：2.45548776亿元；公司配置有大型等高端采矿机械设备以及检验装备，总建筑面积：77647.09平米。</w:t>
            </w:r>
          </w:p>
          <w:p>
            <w:pPr>
              <w:ind w:firstLine="400" w:firstLineChars="200"/>
              <w:rPr>
                <w:rFonts w:hint="default"/>
                <w:sz w:val="20"/>
                <w:lang w:val="en-US" w:eastAsia="zh-CN"/>
              </w:rPr>
            </w:pPr>
            <w:r>
              <w:rPr>
                <w:rFonts w:hint="eastAsia"/>
                <w:sz w:val="20"/>
                <w:lang w:val="en-US" w:eastAsia="zh-CN"/>
              </w:rPr>
              <w:t>1、提供《设备台帐的机台管理编号变更对应表》，公司共有26台套设备。满足实际生产要求。</w:t>
            </w:r>
          </w:p>
          <w:p>
            <w:pPr>
              <w:ind w:firstLine="400" w:firstLineChars="200"/>
              <w:rPr>
                <w:rFonts w:hint="eastAsia"/>
                <w:sz w:val="20"/>
                <w:lang w:val="en-US" w:eastAsia="zh-CN"/>
              </w:rPr>
            </w:pPr>
            <w:r>
              <w:rPr>
                <w:rFonts w:hint="eastAsia"/>
                <w:sz w:val="20"/>
                <w:lang w:val="en-US" w:eastAsia="zh-CN"/>
              </w:rPr>
              <w:t>2、配备有计量器具见台账：</w:t>
            </w:r>
            <w:bookmarkStart w:id="0" w:name="_GoBack"/>
            <w:bookmarkEnd w:id="0"/>
          </w:p>
          <w:tbl>
            <w:tblPr>
              <w:tblStyle w:val="7"/>
              <w:tblpPr w:leftFromText="180" w:rightFromText="180" w:vertAnchor="text" w:horzAnchor="page" w:tblpXSpec="center" w:tblpY="268"/>
              <w:tblOverlap w:val="never"/>
              <w:tblW w:w="8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575"/>
              <w:gridCol w:w="617"/>
              <w:gridCol w:w="617"/>
              <w:gridCol w:w="617"/>
              <w:gridCol w:w="617"/>
              <w:gridCol w:w="8"/>
              <w:gridCol w:w="609"/>
              <w:gridCol w:w="617"/>
              <w:gridCol w:w="617"/>
              <w:gridCol w:w="617"/>
              <w:gridCol w:w="16"/>
              <w:gridCol w:w="601"/>
              <w:gridCol w:w="617"/>
              <w:gridCol w:w="617"/>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类别</w:t>
                  </w:r>
                </w:p>
              </w:tc>
              <w:tc>
                <w:tcPr>
                  <w:tcW w:w="247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进出用能单位</w:t>
                  </w:r>
                </w:p>
              </w:tc>
              <w:tc>
                <w:tcPr>
                  <w:tcW w:w="247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进出次级用能单位</w:t>
                  </w:r>
                </w:p>
              </w:tc>
              <w:tc>
                <w:tcPr>
                  <w:tcW w:w="247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主要耗能设备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配备率</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配备率</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配备率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完好率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bl>
          <w:p>
            <w:pPr>
              <w:ind w:firstLine="400" w:firstLineChars="200"/>
              <w:rPr>
                <w:rFonts w:hint="default"/>
                <w:sz w:val="20"/>
                <w:lang w:val="en-US" w:eastAsia="zh-CN"/>
              </w:rPr>
            </w:pPr>
          </w:p>
          <w:p>
            <w:pPr>
              <w:ind w:firstLine="400" w:firstLineChars="200"/>
              <w:rPr>
                <w:rFonts w:hint="eastAsia"/>
                <w:sz w:val="20"/>
                <w:lang w:val="en-US" w:eastAsia="zh-CN"/>
              </w:rPr>
            </w:pPr>
            <w:r>
              <w:rPr>
                <w:rFonts w:hint="eastAsia"/>
                <w:sz w:val="20"/>
                <w:lang w:val="en-US" w:eastAsia="zh-CN"/>
              </w:rPr>
              <w:t>公司有一支经验丰富的专业研发团队，总人数370人，其中119余人拥有大专以上文凭，2多人拥有高级职称。能源管理体系覆盖员工100人。</w:t>
            </w:r>
          </w:p>
          <w:p>
            <w:pPr>
              <w:ind w:firstLine="400" w:firstLineChars="200"/>
              <w:rPr>
                <w:rFonts w:hint="eastAsia"/>
                <w:sz w:val="20"/>
                <w:lang w:val="en-US" w:eastAsia="zh-CN"/>
              </w:rPr>
            </w:pPr>
            <w:r>
              <w:rPr>
                <w:rFonts w:hint="eastAsia"/>
                <w:sz w:val="20"/>
                <w:lang w:val="en-US" w:eastAsia="zh-CN"/>
              </w:rPr>
              <w:t>资源配置能够满足建立、实施、保持和持续改进能源绩效和能源管理体系的有效运行。</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管理评审</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9.3 </w:t>
            </w:r>
          </w:p>
        </w:tc>
        <w:tc>
          <w:tcPr>
            <w:tcW w:w="10376" w:type="dxa"/>
          </w:tcPr>
          <w:p>
            <w:pPr>
              <w:ind w:firstLine="420" w:firstLineChars="200"/>
              <w:rPr>
                <w:rFonts w:hint="eastAsia"/>
                <w:lang w:val="en-US" w:eastAsia="zh-CN"/>
              </w:rPr>
            </w:pPr>
            <w:r>
              <w:rPr>
                <w:rFonts w:hint="eastAsia"/>
                <w:lang w:val="en-US" w:eastAsia="zh-CN"/>
              </w:rPr>
              <w:t>1、公司自能源管理体系运行以来组织了一次管理评审，日期： 2021年4月24日。</w:t>
            </w:r>
          </w:p>
          <w:p>
            <w:pPr>
              <w:ind w:firstLine="420" w:firstLineChars="200"/>
              <w:rPr>
                <w:rFonts w:hint="eastAsia"/>
                <w:lang w:val="en-US" w:eastAsia="zh-CN"/>
              </w:rPr>
            </w:pPr>
            <w:r>
              <w:rPr>
                <w:rFonts w:hint="eastAsia"/>
                <w:lang w:val="en-US" w:eastAsia="zh-CN"/>
              </w:rPr>
              <w:t>采用会议形式，总经理范炳洪主持会议。</w:t>
            </w:r>
          </w:p>
          <w:p>
            <w:pPr>
              <w:ind w:firstLine="420" w:firstLineChars="200"/>
              <w:rPr>
                <w:rFonts w:hint="default"/>
                <w:lang w:val="en-US" w:eastAsia="zh-CN"/>
              </w:rPr>
            </w:pPr>
            <w:r>
              <w:rPr>
                <w:rFonts w:hint="eastAsia"/>
                <w:lang w:val="en-US" w:eastAsia="zh-CN"/>
              </w:rPr>
              <w:t>2、提供：管理评审档案，含  1.管理评审计划、2.管理评审报告、3.签到表、各部门管理评审输入资料，编审批齐全。</w:t>
            </w:r>
          </w:p>
          <w:p>
            <w:pPr>
              <w:ind w:firstLine="420" w:firstLineChars="200"/>
              <w:rPr>
                <w:rFonts w:hint="eastAsia"/>
                <w:lang w:val="en-US" w:eastAsia="zh-CN"/>
              </w:rPr>
            </w:pPr>
            <w:r>
              <w:rPr>
                <w:rFonts w:hint="eastAsia"/>
                <w:lang w:val="en-US" w:eastAsia="zh-CN"/>
              </w:rPr>
              <w:t>出示“管理评审会议签到表”总经理、中层以上负责人参加并签到；</w:t>
            </w:r>
          </w:p>
          <w:p>
            <w:pPr>
              <w:pStyle w:val="2"/>
              <w:jc w:val="center"/>
              <w:rPr>
                <w:rFonts w:hint="eastAsia"/>
                <w:lang w:val="en-US" w:eastAsia="zh-CN"/>
              </w:rPr>
            </w:pPr>
            <w:r>
              <w:rPr>
                <w:rFonts w:hint="eastAsia"/>
                <w:lang w:val="en-US" w:eastAsia="zh-CN"/>
              </w:rPr>
              <w:drawing>
                <wp:inline distT="0" distB="0" distL="114300" distR="114300">
                  <wp:extent cx="2362200" cy="3046730"/>
                  <wp:effectExtent l="0" t="0" r="0" b="1270"/>
                  <wp:docPr id="2" name="图片 2" descr="27277572da2861e54707415a14eb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277572da2861e54707415a14eb285"/>
                          <pic:cNvPicPr>
                            <a:picLocks noChangeAspect="1"/>
                          </pic:cNvPicPr>
                        </pic:nvPicPr>
                        <pic:blipFill>
                          <a:blip r:embed="rId6"/>
                          <a:stretch>
                            <a:fillRect/>
                          </a:stretch>
                        </pic:blipFill>
                        <pic:spPr>
                          <a:xfrm>
                            <a:off x="0" y="0"/>
                            <a:ext cx="2362200" cy="3046730"/>
                          </a:xfrm>
                          <a:prstGeom prst="rect">
                            <a:avLst/>
                          </a:prstGeom>
                        </pic:spPr>
                      </pic:pic>
                    </a:graphicData>
                  </a:graphic>
                </wp:inline>
              </w:drawing>
            </w:r>
          </w:p>
          <w:p>
            <w:pPr>
              <w:ind w:firstLine="420" w:firstLineChars="200"/>
              <w:rPr>
                <w:rFonts w:hint="eastAsia"/>
                <w:lang w:val="en-US" w:eastAsia="zh-CN"/>
              </w:rPr>
            </w:pPr>
            <w:r>
              <w:rPr>
                <w:rFonts w:hint="eastAsia"/>
                <w:lang w:val="en-US" w:eastAsia="zh-CN"/>
              </w:rPr>
              <w:t>出示“管理评审会议记录”，查评审输入内容包括：</w:t>
            </w:r>
          </w:p>
          <w:p>
            <w:pPr>
              <w:ind w:firstLine="420" w:firstLineChars="200"/>
              <w:rPr>
                <w:rFonts w:hint="eastAsia"/>
                <w:lang w:val="en-US" w:eastAsia="zh-CN"/>
              </w:rPr>
            </w:pPr>
            <w:r>
              <w:rPr>
                <w:rFonts w:hint="eastAsia"/>
                <w:lang w:val="en-US" w:eastAsia="zh-CN"/>
              </w:rPr>
              <w:t>3、评审目的：评价公司能源管理体系持续适宜性、充分性、有效性，识别能源管理体系改进的机会和变更的需要。</w:t>
            </w:r>
          </w:p>
          <w:p>
            <w:pPr>
              <w:ind w:firstLine="420" w:firstLineChars="200"/>
              <w:rPr>
                <w:rFonts w:hint="eastAsia"/>
                <w:lang w:val="en-US" w:eastAsia="zh-CN"/>
              </w:rPr>
            </w:pPr>
            <w:r>
              <w:rPr>
                <w:rFonts w:hint="eastAsia"/>
                <w:lang w:val="en-US" w:eastAsia="zh-CN"/>
              </w:rPr>
              <w:t>评审组织：主持：总经理，出席：管理者代表、各部门负责人。</w:t>
            </w:r>
          </w:p>
          <w:p>
            <w:pPr>
              <w:ind w:firstLine="420" w:firstLineChars="200"/>
              <w:rPr>
                <w:rFonts w:hint="eastAsia"/>
                <w:lang w:val="en-US" w:eastAsia="zh-CN"/>
              </w:rPr>
            </w:pPr>
            <w:r>
              <w:rPr>
                <w:rFonts w:hint="eastAsia"/>
                <w:lang w:val="en-US" w:eastAsia="zh-CN"/>
              </w:rPr>
              <w:t>评审内容：</w:t>
            </w:r>
          </w:p>
          <w:p>
            <w:pPr>
              <w:ind w:firstLine="420" w:firstLineChars="200"/>
              <w:rPr>
                <w:rFonts w:hint="eastAsia"/>
                <w:lang w:val="en-US" w:eastAsia="zh-CN"/>
              </w:rPr>
            </w:pPr>
            <w:r>
              <w:rPr>
                <w:rFonts w:hint="eastAsia"/>
                <w:lang w:val="en-US" w:eastAsia="zh-CN"/>
              </w:rPr>
              <w:t xml:space="preserve">a)以往管理评审所采取措施的状况； </w:t>
            </w:r>
          </w:p>
          <w:p>
            <w:pPr>
              <w:ind w:firstLine="420" w:firstLineChars="200"/>
              <w:rPr>
                <w:rFonts w:hint="eastAsia"/>
                <w:lang w:val="en-US" w:eastAsia="zh-CN"/>
              </w:rPr>
            </w:pPr>
            <w:r>
              <w:rPr>
                <w:rFonts w:hint="eastAsia"/>
                <w:lang w:val="en-US" w:eastAsia="zh-CN"/>
              </w:rPr>
              <w:t xml:space="preserve">b)与能源管理体系相关的内、外部因素以及相关的风险和机遇的变化； </w:t>
            </w:r>
          </w:p>
          <w:p>
            <w:pPr>
              <w:ind w:firstLine="420" w:firstLineChars="200"/>
              <w:rPr>
                <w:rFonts w:hint="eastAsia"/>
                <w:lang w:val="en-US" w:eastAsia="zh-CN"/>
              </w:rPr>
            </w:pPr>
            <w:r>
              <w:rPr>
                <w:rFonts w:hint="eastAsia"/>
                <w:lang w:val="en-US" w:eastAsia="zh-CN"/>
              </w:rPr>
              <w:t xml:space="preserve">c)下列有关能源管理体系绩效方面的信息，包括其趋势： </w:t>
            </w:r>
          </w:p>
          <w:p>
            <w:pPr>
              <w:ind w:firstLine="420" w:firstLineChars="200"/>
              <w:rPr>
                <w:rFonts w:hint="eastAsia"/>
                <w:lang w:val="en-US" w:eastAsia="zh-CN"/>
              </w:rPr>
            </w:pPr>
            <w:r>
              <w:rPr>
                <w:rFonts w:hint="eastAsia"/>
                <w:lang w:val="en-US" w:eastAsia="zh-CN"/>
              </w:rPr>
              <w:t xml:space="preserve">1) 不符合和纠正措施； </w:t>
            </w:r>
          </w:p>
          <w:p>
            <w:pPr>
              <w:ind w:firstLine="420" w:firstLineChars="200"/>
              <w:rPr>
                <w:rFonts w:hint="eastAsia"/>
                <w:lang w:val="en-US" w:eastAsia="zh-CN"/>
              </w:rPr>
            </w:pPr>
            <w:r>
              <w:rPr>
                <w:rFonts w:hint="eastAsia"/>
                <w:lang w:val="en-US" w:eastAsia="zh-CN"/>
              </w:rPr>
              <w:t xml:space="preserve">2) 监视和测量结果； </w:t>
            </w:r>
          </w:p>
          <w:p>
            <w:pPr>
              <w:ind w:firstLine="420" w:firstLineChars="200"/>
              <w:rPr>
                <w:rFonts w:hint="eastAsia"/>
                <w:lang w:val="en-US" w:eastAsia="zh-CN"/>
              </w:rPr>
            </w:pPr>
            <w:r>
              <w:rPr>
                <w:rFonts w:hint="eastAsia"/>
                <w:lang w:val="en-US" w:eastAsia="zh-CN"/>
              </w:rPr>
              <w:t xml:space="preserve">3) 审核结果； </w:t>
            </w:r>
          </w:p>
          <w:p>
            <w:pPr>
              <w:ind w:firstLine="420" w:firstLineChars="200"/>
              <w:rPr>
                <w:rFonts w:hint="eastAsia"/>
                <w:lang w:val="en-US" w:eastAsia="zh-CN"/>
              </w:rPr>
            </w:pPr>
            <w:r>
              <w:rPr>
                <w:rFonts w:hint="eastAsia"/>
                <w:lang w:val="en-US" w:eastAsia="zh-CN"/>
              </w:rPr>
              <w:t xml:space="preserve">4) 法律法规和其他要求的符合性评价结果。 </w:t>
            </w:r>
          </w:p>
          <w:p>
            <w:pPr>
              <w:ind w:firstLine="420" w:firstLineChars="200"/>
              <w:rPr>
                <w:rFonts w:hint="eastAsia"/>
                <w:lang w:val="en-US" w:eastAsia="zh-CN"/>
              </w:rPr>
            </w:pPr>
            <w:r>
              <w:rPr>
                <w:rFonts w:hint="eastAsia"/>
                <w:lang w:val="en-US" w:eastAsia="zh-CN"/>
              </w:rPr>
              <w:t xml:space="preserve">d)持续改进的机会，包括人员能力； </w:t>
            </w:r>
          </w:p>
          <w:p>
            <w:pPr>
              <w:ind w:firstLine="420" w:firstLineChars="200"/>
              <w:rPr>
                <w:rFonts w:hint="eastAsia"/>
                <w:lang w:val="en-US" w:eastAsia="zh-CN"/>
              </w:rPr>
            </w:pPr>
            <w:r>
              <w:rPr>
                <w:rFonts w:hint="eastAsia"/>
                <w:lang w:val="en-US" w:eastAsia="zh-CN"/>
              </w:rPr>
              <w:t xml:space="preserve">e)能源方针。 </w:t>
            </w:r>
          </w:p>
          <w:p>
            <w:pPr>
              <w:ind w:firstLine="420" w:firstLineChars="200"/>
              <w:rPr>
                <w:rFonts w:hint="eastAsia"/>
                <w:lang w:val="en-US" w:eastAsia="zh-CN"/>
              </w:rPr>
            </w:pPr>
            <w:r>
              <w:rPr>
                <w:rFonts w:hint="eastAsia"/>
                <w:lang w:val="en-US" w:eastAsia="zh-CN"/>
              </w:rPr>
              <w:t xml:space="preserve">4、管理评审输出，形成《管理评审报告》编审批齐全 。内容包括：   </w:t>
            </w:r>
          </w:p>
          <w:p>
            <w:pPr>
              <w:ind w:firstLine="420" w:firstLineChars="200"/>
              <w:rPr>
                <w:rFonts w:hint="eastAsia"/>
                <w:lang w:val="en-US" w:eastAsia="zh-CN"/>
              </w:rPr>
            </w:pPr>
            <w:r>
              <w:rPr>
                <w:rFonts w:hint="eastAsia"/>
                <w:lang w:val="en-US" w:eastAsia="zh-CN"/>
              </w:rPr>
              <w:t>管理评审结论：</w:t>
            </w:r>
          </w:p>
          <w:p>
            <w:pPr>
              <w:ind w:firstLine="420" w:firstLineChars="200"/>
              <w:rPr>
                <w:rFonts w:hint="eastAsia"/>
                <w:lang w:val="en-US" w:eastAsia="zh-CN"/>
              </w:rPr>
            </w:pPr>
            <w:r>
              <w:rPr>
                <w:rFonts w:hint="eastAsia"/>
                <w:lang w:val="en-US" w:eastAsia="zh-CN"/>
              </w:rPr>
              <w:t>a)公司能源绩效的变化：与上一年度基本一致。</w:t>
            </w:r>
          </w:p>
          <w:p>
            <w:pPr>
              <w:ind w:firstLine="420" w:firstLineChars="200"/>
              <w:rPr>
                <w:rFonts w:hint="eastAsia"/>
                <w:lang w:val="en-US" w:eastAsia="zh-CN"/>
              </w:rPr>
            </w:pPr>
            <w:r>
              <w:rPr>
                <w:rFonts w:hint="eastAsia"/>
                <w:lang w:val="en-US" w:eastAsia="zh-CN"/>
              </w:rPr>
              <w:t>b)能源方针的变化：保持不变。</w:t>
            </w:r>
          </w:p>
          <w:p>
            <w:pPr>
              <w:ind w:firstLine="420" w:firstLineChars="200"/>
              <w:rPr>
                <w:rFonts w:hint="eastAsia"/>
                <w:lang w:val="en-US" w:eastAsia="zh-CN"/>
              </w:rPr>
            </w:pPr>
            <w:r>
              <w:rPr>
                <w:rFonts w:hint="eastAsia"/>
                <w:lang w:val="en-US" w:eastAsia="zh-CN"/>
              </w:rPr>
              <w:t>c)能源绩效参数的变化：保持不变。</w:t>
            </w:r>
          </w:p>
          <w:p>
            <w:pPr>
              <w:ind w:firstLine="420" w:firstLineChars="200"/>
              <w:rPr>
                <w:rFonts w:hint="eastAsia"/>
                <w:lang w:val="en-US" w:eastAsia="zh-CN"/>
              </w:rPr>
            </w:pPr>
            <w:r>
              <w:rPr>
                <w:rFonts w:hint="eastAsia"/>
                <w:lang w:val="en-US" w:eastAsia="zh-CN"/>
              </w:rPr>
              <w:t>d)就持续改进的承诺，公司对能源管理体系的目标、指标和其他要素的调整：保持不变。</w:t>
            </w:r>
          </w:p>
          <w:p>
            <w:pPr>
              <w:ind w:firstLine="420" w:firstLineChars="200"/>
              <w:rPr>
                <w:rFonts w:hint="eastAsia"/>
                <w:lang w:val="en-US" w:eastAsia="zh-CN"/>
              </w:rPr>
            </w:pPr>
            <w:r>
              <w:rPr>
                <w:rFonts w:hint="eastAsia"/>
                <w:lang w:val="en-US" w:eastAsia="zh-CN"/>
              </w:rPr>
              <w:t>e)资源分配的变化：保持不变。</w:t>
            </w:r>
          </w:p>
          <w:p>
            <w:pPr>
              <w:ind w:firstLine="420" w:firstLineChars="200"/>
              <w:rPr>
                <w:rFonts w:hint="eastAsia"/>
                <w:lang w:val="en-US" w:eastAsia="zh-CN"/>
              </w:rPr>
            </w:pPr>
            <w:r>
              <w:rPr>
                <w:rFonts w:hint="eastAsia"/>
                <w:lang w:val="en-US" w:eastAsia="zh-CN"/>
              </w:rPr>
              <w:t>综合结论：本公司能源管理体系是适宜的、充分的和有效的。</w:t>
            </w:r>
          </w:p>
          <w:p>
            <w:pPr>
              <w:ind w:firstLine="420" w:firstLineChars="200"/>
              <w:rPr>
                <w:rFonts w:hint="eastAsia"/>
                <w:lang w:val="en-US" w:eastAsia="zh-CN"/>
              </w:rPr>
            </w:pPr>
            <w:r>
              <w:rPr>
                <w:rFonts w:hint="eastAsia"/>
                <w:lang w:val="en-US" w:eastAsia="zh-CN"/>
              </w:rPr>
              <w:t>5、纠正措施和预防措施的实施情况</w:t>
            </w:r>
          </w:p>
          <w:p>
            <w:pPr>
              <w:ind w:firstLine="420" w:firstLineChars="200"/>
              <w:rPr>
                <w:rFonts w:hint="eastAsia"/>
                <w:lang w:val="en-US" w:eastAsia="zh-CN"/>
              </w:rPr>
            </w:pPr>
            <w:r>
              <w:rPr>
                <w:rFonts w:hint="eastAsia"/>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p>
            <w:pPr>
              <w:pStyle w:val="2"/>
              <w:rPr>
                <w:rFonts w:hint="default"/>
                <w:lang w:val="en-US" w:eastAsia="zh-CN"/>
              </w:rPr>
            </w:pPr>
            <w:r>
              <w:rPr>
                <w:rFonts w:hint="eastAsia"/>
                <w:sz w:val="20"/>
                <w:lang w:val="en-US" w:eastAsia="zh-CN"/>
              </w:rPr>
              <w:t xml:space="preserve">  </w:t>
            </w:r>
            <w:r>
              <w:rPr>
                <w:rFonts w:hint="eastAsia" w:ascii="Times New Roman" w:hAnsi="Times New Roman" w:eastAsia="宋体" w:cs="Times New Roman"/>
                <w:kern w:val="2"/>
                <w:sz w:val="21"/>
                <w:lang w:val="en-US" w:eastAsia="zh-CN" w:bidi="ar-SA"/>
              </w:rPr>
              <w:t xml:space="preserve">  （1）加强对员工进行节能知识的培训</w:t>
            </w:r>
            <w:r>
              <w:rPr>
                <w:rFonts w:hint="eastAsia" w:eastAsia="宋体" w:cs="Times New Roman"/>
                <w:kern w:val="2"/>
                <w:sz w:val="21"/>
                <w:lang w:val="en-US" w:eastAsia="zh-CN" w:bidi="ar-SA"/>
              </w:rPr>
              <w:t>。</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持续改进</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10.2 </w:t>
            </w:r>
          </w:p>
        </w:tc>
        <w:tc>
          <w:tcPr>
            <w:tcW w:w="10376" w:type="dxa"/>
          </w:tcPr>
          <w:p>
            <w:pPr>
              <w:ind w:firstLine="400" w:firstLineChars="200"/>
              <w:rPr>
                <w:rFonts w:hint="eastAsia"/>
                <w:sz w:val="20"/>
                <w:lang w:val="en-US" w:eastAsia="zh-CN"/>
              </w:rPr>
            </w:pPr>
            <w:r>
              <w:rPr>
                <w:rFonts w:hint="eastAsia"/>
                <w:sz w:val="20"/>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p>
            <w:pPr>
              <w:ind w:firstLine="400" w:firstLineChars="200"/>
              <w:rPr>
                <w:rFonts w:hint="eastAsia"/>
                <w:sz w:val="20"/>
                <w:lang w:val="en-US" w:eastAsia="zh-CN"/>
              </w:rPr>
            </w:pPr>
            <w:r>
              <w:rPr>
                <w:rFonts w:hint="eastAsia"/>
                <w:sz w:val="20"/>
                <w:lang w:val="en-US" w:eastAsia="zh-CN"/>
              </w:rPr>
              <w:t>a）提高生产工作效率，合理规划，制定工时定额等考核方法；</w:t>
            </w:r>
          </w:p>
          <w:p>
            <w:pPr>
              <w:ind w:firstLine="400" w:firstLineChars="200"/>
              <w:rPr>
                <w:rFonts w:hint="eastAsia"/>
                <w:sz w:val="20"/>
                <w:lang w:val="en-US" w:eastAsia="zh-CN"/>
              </w:rPr>
            </w:pPr>
            <w:r>
              <w:rPr>
                <w:rFonts w:hint="eastAsia"/>
                <w:sz w:val="20"/>
                <w:lang w:val="en-US" w:eastAsia="zh-CN"/>
              </w:rPr>
              <w:t>b）提高设备利用率，对设备加强管理，制定相关管理制度，对设备日常检查以及制定年度计划，定期考核。</w:t>
            </w:r>
          </w:p>
          <w:p>
            <w:pPr>
              <w:ind w:firstLine="400" w:firstLineChars="200"/>
              <w:rPr>
                <w:rFonts w:hint="eastAsia"/>
                <w:sz w:val="20"/>
                <w:lang w:val="en-US" w:eastAsia="zh-CN"/>
              </w:rPr>
            </w:pPr>
            <w:r>
              <w:rPr>
                <w:rFonts w:hint="eastAsia"/>
                <w:sz w:val="20"/>
                <w:lang w:val="en-US" w:eastAsia="zh-CN"/>
              </w:rPr>
              <w:t>6、改进建议：</w:t>
            </w:r>
          </w:p>
          <w:p>
            <w:pPr>
              <w:ind w:firstLine="400" w:firstLineChars="200"/>
              <w:rPr>
                <w:rFonts w:hint="eastAsia"/>
                <w:sz w:val="20"/>
                <w:lang w:val="en-US" w:eastAsia="zh-CN"/>
              </w:rPr>
            </w:pPr>
            <w:r>
              <w:rPr>
                <w:rFonts w:hint="eastAsia"/>
                <w:sz w:val="20"/>
                <w:lang w:val="en-US" w:eastAsia="zh-CN"/>
              </w:rPr>
              <w:t>购买自动包装设备，预计投入10~20万，可节省两个人工，可提高出货效率。目前已经完成选型和合同签署，即将设备进场和调试，预计2022年初可投入运行。</w:t>
            </w:r>
          </w:p>
        </w:tc>
        <w:tc>
          <w:tcPr>
            <w:tcW w:w="1213"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108219C2"/>
    <w:rsid w:val="16D974B1"/>
    <w:rsid w:val="1ADD2EA8"/>
    <w:rsid w:val="1B46487E"/>
    <w:rsid w:val="212345D6"/>
    <w:rsid w:val="25C6426F"/>
    <w:rsid w:val="32334EAE"/>
    <w:rsid w:val="3D507775"/>
    <w:rsid w:val="3E4F4E3C"/>
    <w:rsid w:val="43C45188"/>
    <w:rsid w:val="450827B4"/>
    <w:rsid w:val="452931B5"/>
    <w:rsid w:val="4B1D16C3"/>
    <w:rsid w:val="4FFD1A67"/>
    <w:rsid w:val="508939BE"/>
    <w:rsid w:val="5A1D6551"/>
    <w:rsid w:val="5A6F4EDA"/>
    <w:rsid w:val="5BFD0207"/>
    <w:rsid w:val="5EA12B9A"/>
    <w:rsid w:val="5EC27919"/>
    <w:rsid w:val="5F5C13F0"/>
    <w:rsid w:val="60D8693C"/>
    <w:rsid w:val="62F24F2F"/>
    <w:rsid w:val="650A78D6"/>
    <w:rsid w:val="6CAA131E"/>
    <w:rsid w:val="70FE0D10"/>
    <w:rsid w:val="7257141B"/>
    <w:rsid w:val="78E67034"/>
    <w:rsid w:val="7E155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221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2021-08-22T12:36:15Z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93E57592E1BA46768B9DDE827F39952F</vt:lpwstr>
  </property>
</Properties>
</file>