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0810-2021-Q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成都恒铁机械设备有限公司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成都恒铁机械设备有限公司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成都市武侯区聚龙路68号1栋10层24号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四川省成都市金牛区五块石蓝光中央天地1号楼816</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郑福林</w:t>
            </w:r>
            <w:bookmarkEnd w:id="10"/>
          </w:p>
        </w:tc>
        <w:tc>
          <w:tcPr>
            <w:tcW w:w="1313" w:type="dxa"/>
            <w:vAlign w:val="center"/>
          </w:tcPr>
          <w:p>
            <w:r>
              <w:rPr>
                <w:rFonts w:hint="eastAsia"/>
              </w:rPr>
              <w:t>电话.</w:t>
            </w:r>
          </w:p>
        </w:tc>
        <w:tc>
          <w:tcPr>
            <w:tcW w:w="2180" w:type="dxa"/>
            <w:vAlign w:val="center"/>
          </w:tcPr>
          <w:p>
            <w:bookmarkStart w:id="11" w:name="联系人电话"/>
            <w:r>
              <w:t>15283789375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钟毅</w:t>
            </w:r>
            <w:bookmarkEnd w:id="13"/>
          </w:p>
        </w:tc>
        <w:tc>
          <w:tcPr>
            <w:tcW w:w="1313" w:type="dxa"/>
            <w:vAlign w:val="center"/>
          </w:tcPr>
          <w:p>
            <w:r>
              <w:rPr>
                <w:rFonts w:hint="eastAsia"/>
              </w:rPr>
              <w:t>管理者代表</w:t>
            </w:r>
          </w:p>
        </w:tc>
        <w:tc>
          <w:tcPr>
            <w:tcW w:w="2180" w:type="dxa"/>
          </w:tcPr>
          <w:p>
            <w:bookmarkStart w:id="14" w:name="管理者代表"/>
            <w:r>
              <w:t>郑福林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 □双班 □三班  □其他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rPr>
              <w:t>业务洽谈或投标→签订合同→人员配备及培训→提供服务→服务质量检查→持续改进</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2021年08月14日 上午至2021年08月15日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9" w:name="审核范围"/>
            <w:r>
              <w:rPr>
                <w:rFonts w:hint="eastAsia"/>
              </w:rPr>
              <w:t>资质许可范围内施工劳务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35.11.00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rPr>
              <w:t xml:space="preserve"> </w:t>
            </w:r>
            <w:r>
              <w:rPr>
                <w:rFonts w:hint="eastAsia"/>
                <w:lang w:val="en-US" w:eastAsia="zh-CN"/>
              </w:rPr>
              <w:t>2021年01月08日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852"/>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062" w:type="dxa"/>
            <w:shd w:val="clear" w:color="auto" w:fill="F3F3F3"/>
            <w:tcMar>
              <w:left w:w="57" w:type="dxa"/>
              <w:right w:w="57" w:type="dxa"/>
            </w:tcMar>
          </w:tcPr>
          <w:p>
            <w:r>
              <w:rPr>
                <w:rFonts w:hint="eastAsia"/>
              </w:rPr>
              <w:t>场所编号</w:t>
            </w:r>
          </w:p>
          <w:p>
            <w:r>
              <w:rPr>
                <w:rFonts w:hint="eastAsia"/>
              </w:rPr>
              <w:t>(分证书序号）</w:t>
            </w:r>
          </w:p>
        </w:tc>
        <w:tc>
          <w:tcPr>
            <w:tcW w:w="1852"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62" w:type="dxa"/>
            <w:vAlign w:val="center"/>
          </w:tcPr>
          <w:p>
            <w:pPr>
              <w:rPr>
                <w:lang w:eastAsia="ja-JP"/>
              </w:rPr>
            </w:pPr>
            <w:r>
              <w:rPr>
                <w:rFonts w:hint="eastAsia"/>
                <w:lang w:eastAsia="ja-JP"/>
              </w:rPr>
              <w:t>01</w:t>
            </w:r>
          </w:p>
        </w:tc>
        <w:tc>
          <w:tcPr>
            <w:tcW w:w="1852"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02</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03</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04</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05</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p>
            <w:pPr>
              <w:pStyle w:val="2"/>
            </w:pP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rFonts w:hint="eastAsia"/>
              </w:rPr>
            </w:pPr>
            <w:r>
              <w:rPr>
                <w:rFonts w:hint="eastAsia"/>
              </w:rPr>
              <w:t>□未完成审核计划</w:t>
            </w:r>
          </w:p>
          <w:p>
            <w:pPr>
              <w:pStyle w:val="2"/>
              <w:rPr>
                <w:rFonts w:hint="eastAsia"/>
              </w:rPr>
            </w:pPr>
          </w:p>
          <w:p>
            <w:pPr>
              <w:pStyle w:val="2"/>
              <w:rPr>
                <w:rFonts w:hint="eastAsia"/>
              </w:rPr>
            </w:pPr>
            <w:bookmarkStart w:id="34" w:name="_GoBack"/>
            <w:bookmarkEnd w:id="34"/>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2020-N1QMS-1263525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任亚辉</w:t>
            </w:r>
          </w:p>
        </w:tc>
        <w:tc>
          <w:tcPr>
            <w:tcW w:w="1089" w:type="dxa"/>
            <w:vAlign w:val="center"/>
          </w:tcPr>
          <w:p>
            <w:r>
              <w:t>组员</w:t>
            </w:r>
          </w:p>
        </w:tc>
        <w:tc>
          <w:tcPr>
            <w:tcW w:w="711" w:type="dxa"/>
            <w:vAlign w:val="center"/>
          </w:tcPr>
          <w:p>
            <w:r>
              <w:t>男</w:t>
            </w:r>
          </w:p>
        </w:tc>
        <w:tc>
          <w:tcPr>
            <w:tcW w:w="3870" w:type="dxa"/>
            <w:vAlign w:val="center"/>
          </w:tcPr>
          <w:p>
            <w:r>
              <w:t>2020-N0QMS-1265975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梁超恒</w:t>
            </w:r>
          </w:p>
        </w:tc>
        <w:tc>
          <w:tcPr>
            <w:tcW w:w="1089" w:type="dxa"/>
            <w:vAlign w:val="center"/>
          </w:tcPr>
          <w:p>
            <w:r>
              <w:t>组员</w:t>
            </w:r>
          </w:p>
        </w:tc>
        <w:tc>
          <w:tcPr>
            <w:tcW w:w="711" w:type="dxa"/>
            <w:vAlign w:val="center"/>
          </w:tcPr>
          <w:p>
            <w:r>
              <w:t>男</w:t>
            </w:r>
          </w:p>
        </w:tc>
        <w:tc>
          <w:tcPr>
            <w:tcW w:w="3870" w:type="dxa"/>
            <w:vAlign w:val="center"/>
          </w:tcPr>
          <w:p>
            <w:r>
              <w:t>ISC-JSZJ-354</w:t>
            </w:r>
          </w:p>
          <w:p>
            <w:r>
              <w:t>成都梁瑞铁建筑工程有限公司</w:t>
            </w:r>
          </w:p>
        </w:tc>
        <w:tc>
          <w:tcPr>
            <w:tcW w:w="2179" w:type="dxa"/>
            <w:vAlign w:val="center"/>
          </w:tcPr>
          <w:p>
            <w:r>
              <w:t>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pPr>
        <w:ind w:firstLine="420" w:firstLineChars="200"/>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firstLine="420" w:firstLineChars="200"/>
      </w:pPr>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QMS</w:t>
            </w:r>
          </w:p>
          <w:p>
            <w:pPr>
              <w:rPr>
                <w:rFonts w:hint="eastAsia" w:ascii="Times New Roman" w:hAnsi="Times New Roman" w:eastAsia="宋体" w:cs="Times New Roman"/>
              </w:rPr>
            </w:pPr>
          </w:p>
        </w:tc>
        <w:tc>
          <w:tcPr>
            <w:tcW w:w="738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资质许可范围内施工劳务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4"/>
        <w:gridCol w:w="2764"/>
        <w:gridCol w:w="2764"/>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04" w:type="dxa"/>
            <w:vAlign w:val="center"/>
          </w:tcPr>
          <w:p>
            <w:pPr>
              <w:rPr>
                <w:rFonts w:ascii="宋体"/>
                <w:b/>
                <w:color w:val="0000FF"/>
                <w:szCs w:val="21"/>
              </w:rPr>
            </w:pPr>
            <w:r>
              <w:rPr>
                <w:rFonts w:hint="eastAsia" w:ascii="宋体"/>
                <w:b/>
                <w:color w:val="0000FF"/>
                <w:szCs w:val="21"/>
              </w:rPr>
              <w:t>突发事件的处置措施</w:t>
            </w:r>
          </w:p>
        </w:tc>
        <w:tc>
          <w:tcPr>
            <w:tcW w:w="8415"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04" w:type="dxa"/>
            <w:vMerge w:val="restart"/>
            <w:vAlign w:val="center"/>
          </w:tcPr>
          <w:p>
            <w:pPr>
              <w:rPr>
                <w:rFonts w:ascii="宋体"/>
                <w:b/>
                <w:color w:val="0000FF"/>
                <w:szCs w:val="21"/>
              </w:rPr>
            </w:pPr>
            <w:r>
              <w:rPr>
                <w:rFonts w:hint="eastAsia"/>
                <w:b/>
                <w:bCs/>
                <w:color w:val="0000FF"/>
              </w:rPr>
              <w:t>远程审核的有效性评价（适用时）</w:t>
            </w:r>
          </w:p>
        </w:tc>
        <w:tc>
          <w:tcPr>
            <w:tcW w:w="8415"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 w:hRule="exact"/>
          <w:jc w:val="center"/>
        </w:trPr>
        <w:tc>
          <w:tcPr>
            <w:tcW w:w="1704" w:type="dxa"/>
            <w:vMerge w:val="continue"/>
            <w:vAlign w:val="center"/>
          </w:tcPr>
          <w:p>
            <w:pPr>
              <w:rPr>
                <w:rFonts w:ascii="宋体"/>
                <w:b/>
                <w:color w:val="0000FF"/>
                <w:szCs w:val="21"/>
              </w:rPr>
            </w:pPr>
          </w:p>
        </w:tc>
        <w:tc>
          <w:tcPr>
            <w:tcW w:w="8415"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04"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887" w:type="dxa"/>
            <w:tcMar>
              <w:left w:w="113" w:type="dxa"/>
            </w:tcMar>
            <w:vAlign w:val="center"/>
          </w:tcPr>
          <w:p>
            <w:pPr>
              <w:rPr>
                <w:rFonts w:ascii="宋体"/>
                <w:b/>
                <w:color w:val="0000FF"/>
                <w:szCs w:val="21"/>
              </w:rPr>
            </w:pP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人员能力 □检测水平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eastAsia="zh-CN"/>
              </w:rPr>
              <w:t>诚信 、勤奋、敬业、高效</w:t>
            </w:r>
            <w:r>
              <w:rPr>
                <w:rFonts w:hint="eastAsia" w:ascii="Times New Roman" w:hAnsi="Times New Roman" w:eastAsia="宋体" w:cs="Times New Roman"/>
                <w:u w:val="single"/>
              </w:rPr>
              <w:t xml:space="preserve">                                </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u w:val="single"/>
              </w:rPr>
              <w:t xml:space="preserve">                                                      </w:t>
            </w:r>
            <w:r>
              <w:rPr>
                <w:rFonts w:hint="eastAsia" w:ascii="Times New Roman" w:hAnsi="Times New Roman" w:eastAsia="宋体" w:cs="Times New Roman"/>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1、由工程部人员每个月对收集信息进行评价并整理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rPr>
                    <w:t>个体顾客满意度：90%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cs="Times New Roman"/>
                      <w:color w:val="000000"/>
                      <w:szCs w:val="18"/>
                    </w:rPr>
                    <w:t>满意率%=有效的调查表实际分值累计值÷有效的调查表总分值×100%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市场部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GB" w:eastAsia="zh-CN" w:bidi="ar-SA"/>
                    </w:rPr>
                  </w:pPr>
                  <w:r>
                    <w:rPr>
                      <w:rFonts w:hint="eastAsia" w:ascii="Times New Roman" w:hAnsi="Times New Roman" w:cs="Times New Roman"/>
                      <w:color w:val="000000"/>
                      <w:szCs w:val="1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rPr>
                    <w:t>企业顾客满意度：95%</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rPr>
                    <w:t>满意率%=有效的调查表实际分值累计值÷有效的调查表总分值×100%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rPr>
                    <w:t>投诉回复率：100%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lang w:val="en-US" w:eastAsia="zh-CN"/>
                    </w:rPr>
                    <w:t>回复率=回复数</w:t>
                  </w:r>
                  <w:r>
                    <w:rPr>
                      <w:rFonts w:hint="eastAsia" w:ascii="Times New Roman" w:hAnsi="Times New Roman" w:cs="Times New Roman"/>
                      <w:color w:val="000000"/>
                      <w:szCs w:val="18"/>
                    </w:rPr>
                    <w:t>÷</w:t>
                  </w:r>
                  <w:r>
                    <w:rPr>
                      <w:rFonts w:hint="eastAsia" w:ascii="Times New Roman" w:hAnsi="Times New Roman" w:cs="Times New Roman"/>
                      <w:color w:val="000000"/>
                      <w:szCs w:val="18"/>
                      <w:lang w:val="en-US" w:eastAsia="zh-CN"/>
                    </w:rPr>
                    <w:t>总投诉数</w:t>
                  </w:r>
                  <w:r>
                    <w:rPr>
                      <w:rFonts w:hint="eastAsia" w:ascii="Times New Roman" w:hAnsi="Times New Roman" w:cs="Times New Roman"/>
                      <w:color w:val="000000"/>
                      <w:szCs w:val="18"/>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电脑、打印机、碎纸机等</w:t>
            </w:r>
            <w:r>
              <w:rPr>
                <w:rFonts w:hint="eastAsia"/>
                <w:u w:val="single"/>
              </w:rPr>
              <w:t xml:space="preserve">    （列举2~4种）</w:t>
            </w:r>
          </w:p>
          <w:p>
            <w:pPr>
              <w:shd w:val="clear" w:color="auto" w:fill="C7DAF1" w:themeFill="text2"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rPr>
              <w:sym w:font="Wingdings 2" w:char="00A3"/>
            </w:r>
            <w:r>
              <w:rPr>
                <w:rFonts w:hint="eastAsia"/>
              </w:rPr>
              <w:t xml:space="preserve">锅炉 </w:t>
            </w:r>
            <w:r>
              <w:rPr>
                <w:rFonts w:hint="eastAsia"/>
              </w:rPr>
              <w:sym w:font="Wingdings 2" w:char="00A3"/>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资质许可范围内施工劳务</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服务过程</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0D67D7"/>
    <w:rsid w:val="072C2A55"/>
    <w:rsid w:val="07FC4D10"/>
    <w:rsid w:val="0C9104A5"/>
    <w:rsid w:val="0E722B53"/>
    <w:rsid w:val="0F823D37"/>
    <w:rsid w:val="11A07E5F"/>
    <w:rsid w:val="12491B10"/>
    <w:rsid w:val="13BB7963"/>
    <w:rsid w:val="13FA1873"/>
    <w:rsid w:val="1A04081C"/>
    <w:rsid w:val="2129787D"/>
    <w:rsid w:val="213333B4"/>
    <w:rsid w:val="22C41BB6"/>
    <w:rsid w:val="239D17B3"/>
    <w:rsid w:val="23F33145"/>
    <w:rsid w:val="23F864DE"/>
    <w:rsid w:val="264D303C"/>
    <w:rsid w:val="2C2433BC"/>
    <w:rsid w:val="2DAB46F1"/>
    <w:rsid w:val="2DF25EC1"/>
    <w:rsid w:val="2EE56EA3"/>
    <w:rsid w:val="2F5C2E70"/>
    <w:rsid w:val="33EE7B67"/>
    <w:rsid w:val="359726F4"/>
    <w:rsid w:val="35EC7F73"/>
    <w:rsid w:val="3A853B7A"/>
    <w:rsid w:val="3CC22232"/>
    <w:rsid w:val="3D275777"/>
    <w:rsid w:val="3D507B04"/>
    <w:rsid w:val="3E9E0ECC"/>
    <w:rsid w:val="44BE4044"/>
    <w:rsid w:val="45252542"/>
    <w:rsid w:val="4CA712E0"/>
    <w:rsid w:val="4DB9533F"/>
    <w:rsid w:val="4E8E5CC9"/>
    <w:rsid w:val="4F874608"/>
    <w:rsid w:val="500E5F8D"/>
    <w:rsid w:val="52661FE4"/>
    <w:rsid w:val="53916C15"/>
    <w:rsid w:val="57345CE9"/>
    <w:rsid w:val="591A4026"/>
    <w:rsid w:val="5A5932BF"/>
    <w:rsid w:val="5A635F7E"/>
    <w:rsid w:val="5BBF4970"/>
    <w:rsid w:val="5CFE318B"/>
    <w:rsid w:val="5E6369D1"/>
    <w:rsid w:val="5F2F251E"/>
    <w:rsid w:val="60F0148C"/>
    <w:rsid w:val="61383D52"/>
    <w:rsid w:val="67102CB6"/>
    <w:rsid w:val="6B0B4A06"/>
    <w:rsid w:val="6D945ABC"/>
    <w:rsid w:val="6E2D06A2"/>
    <w:rsid w:val="6EEF0D18"/>
    <w:rsid w:val="709C7E46"/>
    <w:rsid w:val="70BE0FE0"/>
    <w:rsid w:val="77355C7D"/>
    <w:rsid w:val="784A51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2021-08-14T07:36:21Z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