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0496-2020-QEO-2021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06"/>
        <w:gridCol w:w="31"/>
        <w:gridCol w:w="1569"/>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679" w:type="dxa"/>
            <w:gridSpan w:val="2"/>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重庆苏友交通工程材料有限公司</w:t>
            </w:r>
            <w:bookmarkEnd w:id="1"/>
          </w:p>
        </w:tc>
        <w:tc>
          <w:tcPr>
            <w:tcW w:w="1600" w:type="dxa"/>
            <w:gridSpan w:val="2"/>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2107"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4679" w:type="dxa"/>
            <w:gridSpan w:val="2"/>
          </w:tcPr>
          <w:p>
            <w:pPr>
              <w:snapToGrid w:val="0"/>
              <w:spacing w:line="0" w:lineRule="atLeast"/>
              <w:jc w:val="center"/>
              <w:rPr>
                <w:rFonts w:hint="eastAsia"/>
                <w:sz w:val="22"/>
                <w:szCs w:val="22"/>
                <w:lang w:val="en-US" w:eastAsia="zh-CN"/>
              </w:rPr>
            </w:pPr>
          </w:p>
        </w:tc>
        <w:tc>
          <w:tcPr>
            <w:tcW w:w="1600" w:type="dxa"/>
            <w:gridSpan w:val="2"/>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2107"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Q:ISC-Q-2020-1080,E:ISC-E-2020-0721,O:ISC-O-2020-0660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679" w:type="dxa"/>
            <w:gridSpan w:val="2"/>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91500108MA5UQT0UX1</w:t>
            </w:r>
            <w:bookmarkEnd w:id="4"/>
          </w:p>
        </w:tc>
        <w:tc>
          <w:tcPr>
            <w:tcW w:w="160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2107"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tcPr>
          <w:p>
            <w:pPr>
              <w:snapToGrid w:val="0"/>
              <w:spacing w:line="0" w:lineRule="atLeast"/>
              <w:jc w:val="center"/>
              <w:rPr>
                <w:rFonts w:hint="eastAsia"/>
                <w:sz w:val="22"/>
                <w:szCs w:val="22"/>
                <w:lang w:val="en-US" w:eastAsia="zh-CN"/>
              </w:rPr>
            </w:pPr>
            <w:bookmarkStart w:id="20" w:name="_GoBack"/>
            <w:r>
              <w:rPr>
                <w:rFonts w:hint="eastAsia"/>
                <w:sz w:val="22"/>
                <w:szCs w:val="22"/>
                <w:lang w:val="en-US" w:eastAsia="zh-CN"/>
              </w:rPr>
              <w:t>认证</w:t>
            </w:r>
            <w:r>
              <w:rPr>
                <w:rFonts w:hint="eastAsia"/>
                <w:sz w:val="22"/>
                <w:szCs w:val="22"/>
                <w:lang w:val="en-GB" w:eastAsia="zh-CN"/>
              </w:rPr>
              <w:t>标准</w:t>
            </w:r>
          </w:p>
        </w:tc>
        <w:tc>
          <w:tcPr>
            <w:tcW w:w="4679" w:type="dxa"/>
            <w:gridSpan w:val="2"/>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(不适用：Q8.3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600" w:type="dxa"/>
            <w:gridSpan w:val="2"/>
          </w:tcPr>
          <w:p>
            <w:pPr>
              <w:snapToGrid w:val="0"/>
              <w:spacing w:line="0" w:lineRule="atLeast"/>
              <w:jc w:val="center"/>
              <w:rPr>
                <w:rFonts w:hint="default"/>
                <w:sz w:val="22"/>
                <w:szCs w:val="22"/>
                <w:highlight w:val="none"/>
                <w:lang w:val="en-US" w:eastAsia="zh-CN"/>
              </w:rPr>
            </w:pPr>
            <w:r>
              <w:rPr>
                <w:rFonts w:hint="eastAsia"/>
                <w:sz w:val="22"/>
                <w:szCs w:val="22"/>
                <w:highlight w:val="none"/>
                <w:lang w:val="en-US" w:eastAsia="zh-CN"/>
              </w:rPr>
              <w:t>企业体系有效人数</w:t>
            </w:r>
          </w:p>
        </w:tc>
        <w:tc>
          <w:tcPr>
            <w:tcW w:w="2107" w:type="dxa"/>
          </w:tcPr>
          <w:p>
            <w:pPr>
              <w:snapToGrid w:val="0"/>
              <w:spacing w:line="0" w:lineRule="atLeast"/>
              <w:jc w:val="center"/>
              <w:rPr>
                <w:rFonts w:hint="eastAsia"/>
                <w:sz w:val="22"/>
                <w:szCs w:val="22"/>
                <w:highlight w:val="none"/>
                <w:lang w:val="en-US" w:eastAsia="zh-CN"/>
              </w:rPr>
            </w:pPr>
            <w:bookmarkStart w:id="12" w:name="体系人数"/>
            <w:r>
              <w:rPr>
                <w:rFonts w:hint="eastAsia"/>
                <w:sz w:val="22"/>
                <w:szCs w:val="22"/>
                <w:highlight w:val="none"/>
                <w:lang w:val="en-US" w:eastAsia="zh-CN"/>
              </w:rPr>
              <w:t>Q:22,E:22,O:22</w:t>
            </w:r>
            <w:bookmarkEnd w:id="12"/>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lang w:eastAsia="zh-CN"/>
              </w:rPr>
              <w:t>■</w:t>
            </w:r>
            <w:r>
              <w:rPr>
                <w:rFonts w:hint="eastAsia"/>
                <w:b/>
                <w:color w:val="000000" w:themeColor="text1"/>
                <w:sz w:val="22"/>
                <w:szCs w:val="22"/>
                <w:lang w:val="en-GB" w:eastAsia="zh-CN"/>
              </w:rPr>
              <w:t>注册</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cs="Times New Roman" w:asciiTheme="minorEastAsia" w:hAnsiTheme="minorEastAsia" w:eastAsiaTheme="minorEastAsia"/>
                <w:sz w:val="20"/>
                <w:lang w:val="en-US" w:eastAsia="zh-CN"/>
              </w:rPr>
            </w:pPr>
          </w:p>
        </w:tc>
        <w:tc>
          <w:tcPr>
            <w:tcW w:w="3373" w:type="dxa"/>
          </w:tcPr>
          <w:p>
            <w:pPr>
              <w:snapToGrid w:val="0"/>
              <w:spacing w:line="0" w:lineRule="atLeast"/>
              <w:jc w:val="left"/>
              <w:rPr>
                <w:rFonts w:hint="eastAsia" w:cs="Times New Roman" w:asciiTheme="minorEastAsia" w:hAnsiTheme="minorEastAsia" w:eastAsiaTheme="minorEastAsia"/>
                <w:sz w:val="20"/>
                <w:lang w:val="en-US" w:eastAsia="zh-CN"/>
              </w:rPr>
            </w:pPr>
            <w:r>
              <w:rPr>
                <w:rFonts w:hint="eastAsia" w:cs="Times New Roman" w:asciiTheme="minorEastAsia" w:hAnsiTheme="minorEastAsia" w:eastAsiaTheme="minorEastAsia"/>
                <w:sz w:val="20"/>
                <w:lang w:val="en-GB" w:eastAsia="zh-CN"/>
              </w:rPr>
              <w:t>中文公司名称及地址</w:t>
            </w:r>
          </w:p>
        </w:tc>
        <w:tc>
          <w:tcPr>
            <w:tcW w:w="5013" w:type="dxa"/>
            <w:gridSpan w:val="4"/>
          </w:tcPr>
          <w:p>
            <w:pPr>
              <w:snapToGrid w:val="0"/>
              <w:spacing w:line="0" w:lineRule="atLeast"/>
              <w:jc w:val="left"/>
              <w:rPr>
                <w:rFonts w:hint="default" w:cs="Times New Roman" w:asciiTheme="minorEastAsia" w:hAnsiTheme="minorEastAsia" w:eastAsiaTheme="minorEastAsia"/>
                <w:sz w:val="20"/>
                <w:lang w:val="en-US" w:eastAsia="zh-CN"/>
              </w:rPr>
            </w:pPr>
            <w:r>
              <w:rPr>
                <w:rFonts w:hint="eastAsia" w:cs="Times New Roman" w:asciiTheme="minorEastAsia" w:hAnsiTheme="minorEastAsia" w:eastAsiaTheme="minorEastAsia"/>
                <w:sz w:val="20"/>
                <w:lang w:val="en-GB" w:eastAsia="zh-CN"/>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cs="Times New Roman" w:asciiTheme="minorEastAsia" w:hAnsiTheme="minorEastAsia" w:eastAsiaTheme="minorEastAsia"/>
                <w:sz w:val="20"/>
                <w:lang w:val="en-US" w:eastAsia="zh-CN"/>
              </w:rPr>
            </w:pPr>
            <w:r>
              <w:rPr>
                <w:rFonts w:hint="eastAsia" w:cs="Times New Roman" w:asciiTheme="minorEastAsia" w:hAnsiTheme="minorEastAsia" w:eastAsiaTheme="minorEastAsia"/>
                <w:sz w:val="20"/>
                <w:lang w:val="en-GB" w:eastAsia="zh-CN"/>
              </w:rPr>
              <w:t>公司名称</w:t>
            </w:r>
          </w:p>
        </w:tc>
        <w:tc>
          <w:tcPr>
            <w:tcW w:w="3373" w:type="dxa"/>
          </w:tcPr>
          <w:p>
            <w:pPr>
              <w:snapToGrid w:val="0"/>
              <w:spacing w:line="0" w:lineRule="atLeast"/>
              <w:jc w:val="left"/>
              <w:rPr>
                <w:rFonts w:hint="eastAsia" w:cs="Times New Roman" w:asciiTheme="minorEastAsia" w:hAnsiTheme="minorEastAsia" w:eastAsiaTheme="minorEastAsia"/>
                <w:sz w:val="20"/>
                <w:lang w:val="en-GB" w:eastAsia="zh-CN"/>
              </w:rPr>
            </w:pPr>
            <w:bookmarkStart w:id="17" w:name="组织名称Add1"/>
            <w:r>
              <w:rPr>
                <w:rFonts w:hint="eastAsia" w:cs="Times New Roman" w:asciiTheme="minorEastAsia" w:hAnsiTheme="minorEastAsia" w:eastAsiaTheme="minorEastAsia"/>
                <w:sz w:val="20"/>
                <w:lang w:val="en-US" w:eastAsia="zh-CN"/>
              </w:rPr>
              <w:t>重庆苏友交通工程材料有限公司</w:t>
            </w:r>
            <w:bookmarkEnd w:id="17"/>
          </w:p>
        </w:tc>
        <w:tc>
          <w:tcPr>
            <w:tcW w:w="5013" w:type="dxa"/>
            <w:gridSpan w:val="4"/>
            <w:vMerge w:val="restart"/>
          </w:tcPr>
          <w:p>
            <w:pPr>
              <w:snapToGrid w:val="0"/>
              <w:spacing w:line="0" w:lineRule="atLeast"/>
              <w:jc w:val="left"/>
              <w:rPr>
                <w:rFonts w:hint="eastAsia" w:cs="Times New Roman" w:asciiTheme="minorEastAsia" w:hAnsiTheme="minorEastAsia" w:eastAsiaTheme="minorEastAsia"/>
                <w:sz w:val="20"/>
                <w:lang w:val="en-US" w:eastAsia="zh-CN"/>
              </w:rPr>
            </w:pPr>
            <w:bookmarkStart w:id="18" w:name="审核范围"/>
            <w:r>
              <w:rPr>
                <w:rFonts w:hint="eastAsia" w:cs="Times New Roman" w:asciiTheme="minorEastAsia" w:hAnsiTheme="minorEastAsia" w:eastAsiaTheme="minorEastAsia"/>
                <w:sz w:val="20"/>
                <w:lang w:val="en-US" w:eastAsia="zh-CN"/>
              </w:rPr>
              <w:t>Q：交通工程材料、金属制品（不含稀贵金属）、不锈钢制品的销售</w:t>
            </w:r>
          </w:p>
          <w:p>
            <w:pPr>
              <w:snapToGrid w:val="0"/>
              <w:spacing w:line="0" w:lineRule="atLeast"/>
              <w:jc w:val="left"/>
              <w:rPr>
                <w:rFonts w:hint="eastAsia" w:cs="Times New Roman" w:asciiTheme="minorEastAsia" w:hAnsiTheme="minorEastAsia" w:eastAsiaTheme="minorEastAsia"/>
                <w:sz w:val="20"/>
                <w:lang w:val="en-US" w:eastAsia="zh-CN"/>
              </w:rPr>
            </w:pPr>
            <w:r>
              <w:rPr>
                <w:rFonts w:hint="eastAsia" w:cs="Times New Roman" w:asciiTheme="minorEastAsia" w:hAnsiTheme="minorEastAsia" w:eastAsiaTheme="minorEastAsia"/>
                <w:sz w:val="20"/>
                <w:lang w:val="en-US" w:eastAsia="zh-CN"/>
              </w:rPr>
              <w:t>E：交通工程材料、金属制品（不含稀贵金属）、不锈钢制品的销售所涉及的相关环境管理活动</w:t>
            </w:r>
          </w:p>
          <w:p>
            <w:pPr>
              <w:snapToGrid w:val="0"/>
              <w:spacing w:line="0" w:lineRule="atLeast"/>
              <w:jc w:val="left"/>
              <w:rPr>
                <w:rFonts w:hint="eastAsia" w:cs="Times New Roman" w:asciiTheme="minorEastAsia" w:hAnsiTheme="minorEastAsia" w:eastAsiaTheme="minorEastAsia"/>
                <w:sz w:val="20"/>
                <w:lang w:val="en-US" w:eastAsia="zh-CN"/>
              </w:rPr>
            </w:pPr>
            <w:r>
              <w:rPr>
                <w:rFonts w:hint="eastAsia" w:cs="Times New Roman" w:asciiTheme="minorEastAsia" w:hAnsiTheme="minorEastAsia" w:eastAsiaTheme="minorEastAsia"/>
                <w:sz w:val="20"/>
                <w:lang w:val="en-US" w:eastAsia="zh-CN"/>
              </w:rPr>
              <w:t>O：交通工程材料、金属制品（不含稀贵金属）、不锈钢制品的销售所涉及的相关职业健康安全管理活动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cs="Times New Roman" w:asciiTheme="minorEastAsia" w:hAnsiTheme="minorEastAsia" w:eastAsiaTheme="minorEastAsia"/>
                <w:sz w:val="20"/>
                <w:lang w:val="en-US" w:eastAsia="zh-CN"/>
              </w:rPr>
            </w:pPr>
            <w:r>
              <w:rPr>
                <w:rFonts w:hint="eastAsia" w:cs="Times New Roman" w:asciiTheme="minorEastAsia" w:hAnsiTheme="minorEastAsia" w:eastAsiaTheme="minorEastAsia"/>
                <w:sz w:val="20"/>
                <w:lang w:val="en-GB" w:eastAsia="zh-CN"/>
              </w:rPr>
              <w:t>注册地址</w:t>
            </w:r>
          </w:p>
        </w:tc>
        <w:tc>
          <w:tcPr>
            <w:tcW w:w="3373" w:type="dxa"/>
          </w:tcPr>
          <w:p>
            <w:pPr>
              <w:snapToGrid w:val="0"/>
              <w:spacing w:line="0" w:lineRule="atLeast"/>
              <w:jc w:val="left"/>
              <w:rPr>
                <w:rFonts w:hint="eastAsia" w:cs="Times New Roman" w:asciiTheme="minorEastAsia" w:hAnsiTheme="minorEastAsia" w:eastAsiaTheme="minorEastAsia"/>
                <w:sz w:val="20"/>
                <w:lang w:val="en-US" w:eastAsia="zh-CN"/>
              </w:rPr>
            </w:pPr>
            <w:r>
              <w:rPr>
                <w:rFonts w:hint="eastAsia" w:cs="Times New Roman" w:asciiTheme="minorEastAsia" w:hAnsiTheme="minorEastAsia" w:eastAsiaTheme="minorEastAsia"/>
                <w:sz w:val="20"/>
                <w:lang w:val="en-US" w:eastAsia="zh-CN"/>
              </w:rPr>
              <w:t>重庆市巴南区南彭街道巨龙桥村8社</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576" w:type="dxa"/>
          </w:tcPr>
          <w:p>
            <w:pPr>
              <w:snapToGrid w:val="0"/>
              <w:spacing w:line="0" w:lineRule="atLeast"/>
              <w:jc w:val="left"/>
              <w:rPr>
                <w:rFonts w:hint="eastAsia" w:cs="Times New Roman" w:asciiTheme="minorEastAsia" w:hAnsiTheme="minorEastAsia" w:eastAsiaTheme="minorEastAsia"/>
                <w:sz w:val="20"/>
                <w:lang w:val="en-GB" w:eastAsia="zh-CN"/>
              </w:rPr>
            </w:pPr>
            <w:r>
              <w:rPr>
                <w:rFonts w:hint="eastAsia" w:cs="Times New Roman" w:asciiTheme="minorEastAsia" w:hAnsiTheme="minorEastAsia" w:eastAsiaTheme="minorEastAsia"/>
                <w:sz w:val="20"/>
                <w:lang w:val="en-GB" w:eastAsia="zh-CN"/>
              </w:rPr>
              <w:t>经营地址</w:t>
            </w:r>
          </w:p>
        </w:tc>
        <w:tc>
          <w:tcPr>
            <w:tcW w:w="3373" w:type="dxa"/>
          </w:tcPr>
          <w:p>
            <w:pPr>
              <w:snapToGrid w:val="0"/>
              <w:spacing w:line="0" w:lineRule="atLeast"/>
              <w:jc w:val="left"/>
              <w:rPr>
                <w:rFonts w:hint="eastAsia" w:cs="Times New Roman" w:asciiTheme="minorEastAsia" w:hAnsiTheme="minorEastAsia" w:eastAsiaTheme="minorEastAsia"/>
                <w:sz w:val="20"/>
                <w:lang w:val="en-US" w:eastAsia="zh-CN"/>
              </w:rPr>
            </w:pPr>
            <w:bookmarkStart w:id="19" w:name="办公地址"/>
            <w:r>
              <w:rPr>
                <w:rFonts w:hint="eastAsia" w:cs="Times New Roman" w:asciiTheme="minorEastAsia" w:hAnsiTheme="minorEastAsia" w:eastAsiaTheme="minorEastAsia"/>
                <w:sz w:val="20"/>
                <w:lang w:val="en-GB" w:eastAsia="zh-CN"/>
              </w:rPr>
              <w:t>重庆市南岸区腾龙大道46号12-15</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2"/>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2"/>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679"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600"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210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082AA7"/>
    <w:rsid w:val="411A4CE2"/>
    <w:rsid w:val="443F284E"/>
    <w:rsid w:val="485D39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2021-08-13T07:52:07Z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