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河南惠洁新型建材科技有限公司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0378-2019-Q-2021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rPr>
                <w:sz w:val="22"/>
                <w:szCs w:val="22"/>
                <w:highlight w:val="yellow"/>
              </w:rPr>
            </w:pPr>
            <w:r>
              <w:rPr>
                <w:sz w:val="20"/>
              </w:rPr>
              <w:t>组长</w:t>
            </w:r>
            <w:r>
              <w:rPr>
                <w:rFonts w:hint="eastAsia"/>
                <w:sz w:val="20"/>
                <w:lang w:val="en-US" w:eastAsia="zh-CN"/>
              </w:rPr>
              <w:t>A</w:t>
            </w:r>
          </w:p>
        </w:tc>
        <w:tc>
          <w:tcPr>
            <w:tcW w:w="5595" w:type="dxa"/>
            <w:gridSpan w:val="3"/>
            <w:vAlign w:val="center"/>
          </w:tcPr>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C62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2021-08-16T16:18:56Z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