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0498-2019-E-2021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大庆中达机械设备有限公司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sym w:font="Wingdings 2" w:char="00A3"/>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大庆中达机械设备有限公司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黑龙江省大庆市让胡路区民营科技园新贤路5号301室</w:t>
            </w:r>
            <w:bookmarkEnd w:id="5"/>
          </w:p>
        </w:tc>
        <w:tc>
          <w:tcPr>
            <w:tcW w:w="1242" w:type="dxa"/>
            <w:vMerge w:val="restart"/>
            <w:vAlign w:val="center"/>
          </w:tcPr>
          <w:p>
            <w:r>
              <w:rPr>
                <w:rFonts w:hint="eastAsia"/>
              </w:rPr>
              <w:t>邮编</w:t>
            </w:r>
          </w:p>
        </w:tc>
        <w:tc>
          <w:tcPr>
            <w:tcW w:w="1771" w:type="dxa"/>
          </w:tcPr>
          <w:p>
            <w:bookmarkStart w:id="6" w:name="注册邮编"/>
            <w:r>
              <w:t>163700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办公地址"/>
            <w:r>
              <w:t>黑龙江省大庆市萨尔图区福利厂院内</w:t>
            </w:r>
            <w:bookmarkEnd w:id="7"/>
          </w:p>
        </w:tc>
        <w:tc>
          <w:tcPr>
            <w:tcW w:w="1242" w:type="dxa"/>
            <w:vMerge w:val="continue"/>
            <w:vAlign w:val="center"/>
          </w:tcPr>
          <w:p/>
        </w:tc>
        <w:tc>
          <w:tcPr>
            <w:tcW w:w="1771" w:type="dxa"/>
          </w:tcPr>
          <w:p>
            <w:bookmarkStart w:id="8" w:name="办公邮编"/>
            <w:r>
              <w:t>163700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谭福利</w:t>
            </w:r>
            <w:bookmarkEnd w:id="9"/>
          </w:p>
        </w:tc>
        <w:tc>
          <w:tcPr>
            <w:tcW w:w="1313" w:type="dxa"/>
            <w:vAlign w:val="center"/>
          </w:tcPr>
          <w:p>
            <w:r>
              <w:rPr>
                <w:rFonts w:hint="eastAsia"/>
              </w:rPr>
              <w:t>电话.</w:t>
            </w:r>
          </w:p>
        </w:tc>
        <w:tc>
          <w:tcPr>
            <w:tcW w:w="2180" w:type="dxa"/>
            <w:vAlign w:val="center"/>
          </w:tcPr>
          <w:p>
            <w:bookmarkStart w:id="10" w:name="联系人电话"/>
            <w:r>
              <w:t>18245695527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钱鑫</w:t>
            </w:r>
            <w:bookmarkEnd w:id="12"/>
          </w:p>
        </w:tc>
        <w:tc>
          <w:tcPr>
            <w:tcW w:w="1313" w:type="dxa"/>
            <w:vAlign w:val="center"/>
          </w:tcPr>
          <w:p>
            <w:r>
              <w:rPr>
                <w:rFonts w:hint="eastAsia"/>
              </w:rPr>
              <w:t>管理者代表</w:t>
            </w:r>
          </w:p>
        </w:tc>
        <w:tc>
          <w:tcPr>
            <w:tcW w:w="2180" w:type="dxa"/>
          </w:tcPr>
          <w:p>
            <w:bookmarkStart w:id="13" w:name="管理者代表"/>
            <w:r>
              <w:t>谭福利</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bookmarkStart w:id="33" w:name="_GoBack"/>
            <w:bookmarkEnd w:id="33"/>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rPr>
              <w:t>石油钻采专用设备及配件、石油机械设备及配件、紧固件、泵及配件</w:t>
            </w:r>
            <w:r>
              <w:rPr>
                <w:rFonts w:hint="eastAsia"/>
                <w:lang w:eastAsia="zh-CN"/>
              </w:rPr>
              <w:t>加工工艺：</w:t>
            </w:r>
            <w:r>
              <w:rPr>
                <w:rFonts w:hint="eastAsia"/>
              </w:rPr>
              <w:t>圆钢配料—</w:t>
            </w:r>
            <w:r>
              <w:rPr>
                <w:rFonts w:hint="eastAsia"/>
                <w:lang w:eastAsia="zh-CN"/>
              </w:rPr>
              <w:t>下料</w:t>
            </w:r>
            <w:r>
              <w:rPr>
                <w:rFonts w:hint="eastAsia"/>
              </w:rPr>
              <w:t>—粗加工—</w:t>
            </w:r>
            <w:r>
              <w:rPr>
                <w:rFonts w:hint="eastAsia"/>
                <w:lang w:eastAsia="zh-CN"/>
              </w:rPr>
              <w:t>检验</w:t>
            </w:r>
            <w:r>
              <w:rPr>
                <w:rFonts w:hint="eastAsia"/>
              </w:rPr>
              <w:t>—精加工—组装—试验（必要时）—检验—入库（交付）</w:t>
            </w:r>
            <w:r>
              <w:rPr>
                <w:rFonts w:hint="eastAsia"/>
                <w:lang w:eastAsia="zh-CN"/>
              </w:rPr>
              <w:t>。</w:t>
            </w:r>
          </w:p>
          <w:p>
            <w:r>
              <w:rPr>
                <w:rFonts w:hint="eastAsia"/>
              </w:rPr>
              <w:t>橡胶制品（井口盘根、密封圈、密封条）</w:t>
            </w:r>
            <w:r>
              <w:rPr>
                <w:rFonts w:hint="eastAsia"/>
                <w:lang w:eastAsia="zh-CN"/>
              </w:rPr>
              <w:t>加工工艺：</w:t>
            </w:r>
            <w:r>
              <w:rPr>
                <w:rFonts w:hint="eastAsia"/>
                <w:lang w:val="zh-CN"/>
              </w:rPr>
              <w:t>选成品胶料→检验→按图纸螺旋切割→打包→入库→交</w:t>
            </w:r>
            <w:r>
              <w:rPr>
                <w:rFonts w:hint="eastAsia"/>
                <w:lang w:val="en-US" w:eastAsia="zh-CN"/>
              </w:rPr>
              <w:t>付</w:t>
            </w:r>
            <w:r>
              <w:rPr>
                <w:rFonts w:hint="eastAsia"/>
                <w:lang w:val="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2021年08月15日 上午至2021年08月15日 下午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bookmarkStart w:id="24" w:name="监督勾选Add1"/>
            <w:r>
              <w:rPr>
                <w:rFonts w:hint="eastAsia"/>
              </w:rPr>
              <w:t>■</w:t>
            </w:r>
            <w:bookmarkEnd w:id="24"/>
            <w:r>
              <w:rPr>
                <w:rFonts w:hint="eastAsia"/>
              </w:rPr>
              <w:t xml:space="preserve">监督 第 </w:t>
            </w:r>
            <w:bookmarkStart w:id="25" w:name="监督次数"/>
            <w:r>
              <w:rPr>
                <w:rFonts w:hint="eastAsia"/>
              </w:rPr>
              <w:t>二</w:t>
            </w:r>
            <w:bookmarkEnd w:id="25"/>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黑龙江省大庆市萨尔图区福利厂院内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 xml:space="preserve">视频 </w:t>
            </w:r>
            <w:r>
              <w:rPr>
                <w:rFonts w:hint="eastAsia" w:ascii="宋体"/>
                <w:b/>
                <w:color w:val="0000FF"/>
                <w:szCs w:val="21"/>
              </w:rPr>
              <w:sym w:font="Wingdings 2" w:char="0052"/>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□手持设备 </w:t>
            </w:r>
            <w:r>
              <w:rPr>
                <w:rFonts w:hint="eastAsia" w:ascii="宋体"/>
                <w:b/>
                <w:color w:val="0000FF"/>
                <w:szCs w:val="21"/>
              </w:rPr>
              <w:sym w:font="Wingdings 2" w:char="0052"/>
            </w:r>
            <w:r>
              <w:rPr>
                <w:rFonts w:hint="eastAsia" w:ascii="宋体"/>
                <w:b/>
                <w:color w:val="0000FF"/>
                <w:szCs w:val="21"/>
              </w:rPr>
              <w:t xml:space="preserve">笔记本电脑 </w:t>
            </w:r>
            <w:r>
              <w:rPr>
                <w:rFonts w:hint="eastAsia" w:ascii="宋体"/>
                <w:b/>
                <w:color w:val="0000FF"/>
                <w:szCs w:val="21"/>
              </w:rPr>
              <w:sym w:font="Wingdings 2" w:char="0052"/>
            </w:r>
            <w:r>
              <w:rPr>
                <w:rFonts w:hint="eastAsia" w:ascii="宋体"/>
                <w:b/>
                <w:color w:val="0000FF"/>
                <w:szCs w:val="21"/>
              </w:rPr>
              <w:t xml:space="preserve">台式电脑 □无人机 </w:t>
            </w:r>
            <w:r>
              <w:rPr>
                <w:rFonts w:hint="eastAsia" w:ascii="宋体"/>
                <w:b/>
                <w:color w:val="0000FF"/>
                <w:szCs w:val="21"/>
              </w:rPr>
              <w:sym w:font="Wingdings 2" w:char="0052"/>
            </w:r>
            <w:r>
              <w:rPr>
                <w:rFonts w:hint="eastAsia" w:ascii="宋体"/>
                <w:b/>
                <w:color w:val="0000FF"/>
                <w:szCs w:val="21"/>
              </w:rPr>
              <w:t>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rPr>
              <w:t>石油钻采专用设备及配件、石油机械设备及配件、紧固件、泵及配件的加工，橡胶制品（井口盘根、密封圈、密封条）的销售。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sym w:font="Wingdings 2" w:char="00A3"/>
            </w:r>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 xml:space="preserve">月 </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8</w:t>
            </w:r>
            <w:r>
              <w:rPr>
                <w:rFonts w:hint="eastAsia"/>
              </w:rPr>
              <w:t xml:space="preserve">月 </w:t>
            </w:r>
            <w:r>
              <w:rPr>
                <w:rFonts w:hint="eastAsia"/>
                <w:lang w:val="en-US" w:eastAsia="zh-CN"/>
              </w:rPr>
              <w:t>24-25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2021-N1EMS-3031946</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未发生</w:t>
            </w:r>
            <w:r>
              <w:rPr>
                <w:rFonts w:hint="eastAsia"/>
              </w:rPr>
              <w:t>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未发生</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val="en-US" w:eastAsia="zh-CN"/>
              </w:rPr>
              <w:t>未发现不符合。</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2021-08-15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□危化品管理 □特种设备管理 </w:t>
            </w:r>
          </w:p>
          <w:p>
            <w:pPr>
              <w:shd w:val="clear" w:color="auto" w:fill="EBF1DE" w:themeFill="accent3" w:themeFillTint="32"/>
              <w:spacing w:before="40" w:after="40"/>
            </w:pPr>
            <w:r>
              <w:rPr>
                <w:rFonts w:hint="eastAsia"/>
              </w:rPr>
              <w:t xml:space="preserve">□环评三同时 </w:t>
            </w:r>
            <w:r>
              <w:rPr>
                <w:rFonts w:hint="eastAsia"/>
              </w:rPr>
              <w:sym w:font="Wingdings 2" w:char="0052"/>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u w:val="single"/>
              </w:rPr>
              <w:t xml:space="preserve"> </w:t>
            </w:r>
            <w:r>
              <w:rPr>
                <w:rFonts w:hint="eastAsia" w:ascii="Times New Roman" w:hAnsi="Times New Roman" w:cs="Times New Roman"/>
                <w:u w:val="single"/>
              </w:rPr>
              <w:t>顾客至上 遵规守信 崇尚科技 创立“</w:t>
            </w:r>
            <w:r>
              <w:rPr>
                <w:rFonts w:hint="eastAsia" w:ascii="Times New Roman" w:hAnsi="Times New Roman" w:cs="Times New Roman"/>
                <w:u w:val="single"/>
                <w:lang w:eastAsia="zh-CN"/>
              </w:rPr>
              <w:t>中达</w:t>
            </w:r>
            <w:r>
              <w:rPr>
                <w:rFonts w:hint="eastAsia" w:ascii="Times New Roman" w:hAnsi="Times New Roman" w:cs="Times New Roman"/>
                <w:u w:val="single"/>
              </w:rPr>
              <w:t>”品牌   安全第一 预防为主 环保先行 确保健康 走可持续发展之路</w:t>
            </w:r>
            <w:r>
              <w:rPr>
                <w:rFonts w:hint="eastAsia"/>
                <w:u w:val="single"/>
              </w:rPr>
              <w:t xml:space="preserve">                                     </w:t>
            </w:r>
          </w:p>
          <w:p>
            <w:pPr>
              <w:shd w:val="clear" w:color="auto" w:fill="EBF1DE" w:themeFill="accent3" w:themeFillTint="32"/>
              <w:rPr>
                <w:u w:val="single"/>
              </w:rPr>
            </w:pPr>
            <w:r>
              <w:rPr>
                <w:rFonts w:hint="eastAsia"/>
              </w:rPr>
              <w:t xml:space="preserve"> </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pPr>
                  <w:r>
                    <w:rPr>
                      <w:rFonts w:hint="eastAsia" w:ascii="宋体" w:hAnsi="宋体" w:cs="宋体"/>
                      <w:color w:val="000000"/>
                      <w:sz w:val="21"/>
                      <w:szCs w:val="21"/>
                    </w:rPr>
                    <w:t>政策风险</w:t>
                  </w:r>
                </w:p>
              </w:tc>
              <w:tc>
                <w:tcPr>
                  <w:tcW w:w="3965" w:type="dxa"/>
                  <w:vAlign w:val="top"/>
                </w:tcPr>
                <w:p>
                  <w:pPr>
                    <w:shd w:val="clear" w:color="auto" w:fill="C7DAF1" w:themeFill="text2" w:themeFillTint="32"/>
                  </w:pPr>
                  <w:r>
                    <w:rPr>
                      <w:rFonts w:hint="eastAsia" w:ascii="宋体" w:hAnsi="宋体" w:cs="宋体"/>
                      <w:color w:val="000000"/>
                      <w:sz w:val="21"/>
                      <w:szCs w:val="21"/>
                    </w:rPr>
                    <w:t>按照市政规划为了防止未来有可能发生改变的政策，本公司一方面为扩大业务做准备，另一方面如果政策发生改变，公司可以随即将加工业务线转移，不至于耽误公司业务，影响公司的发展。</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资源风险</w:t>
                  </w:r>
                </w:p>
                <w:p>
                  <w:pPr>
                    <w:shd w:val="clear" w:color="auto" w:fill="C7DAF1" w:themeFill="text2" w:themeFillTint="32"/>
                  </w:pPr>
                </w:p>
              </w:tc>
              <w:tc>
                <w:tcPr>
                  <w:tcW w:w="3965" w:type="dxa"/>
                  <w:vAlign w:val="top"/>
                </w:tcPr>
                <w:p>
                  <w:pPr>
                    <w:shd w:val="clear" w:color="auto" w:fill="C7DAF1" w:themeFill="text2" w:themeFillTint="32"/>
                  </w:pPr>
                  <w:r>
                    <w:rPr>
                      <w:rFonts w:hint="eastAsia" w:ascii="宋体" w:hAnsi="宋体" w:cs="宋体"/>
                      <w:color w:val="000000"/>
                      <w:sz w:val="21"/>
                      <w:szCs w:val="21"/>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产品风险</w:t>
                  </w:r>
                </w:p>
                <w:p>
                  <w:pPr>
                    <w:shd w:val="clear" w:color="auto" w:fill="C7DAF1" w:themeFill="text2" w:themeFillTint="32"/>
                  </w:pPr>
                </w:p>
              </w:tc>
              <w:tc>
                <w:tcPr>
                  <w:tcW w:w="3965" w:type="dxa"/>
                  <w:vAlign w:val="top"/>
                </w:tcPr>
                <w:p>
                  <w:pPr>
                    <w:spacing w:line="360" w:lineRule="auto"/>
                    <w:ind w:firstLine="420"/>
                    <w:rPr>
                      <w:rFonts w:ascii="宋体" w:hAnsi="宋体" w:cs="宋体"/>
                      <w:color w:val="000000"/>
                      <w:sz w:val="21"/>
                      <w:szCs w:val="21"/>
                    </w:rPr>
                  </w:pPr>
                  <w:r>
                    <w:rPr>
                      <w:rFonts w:hint="eastAsia" w:ascii="宋体" w:hAnsi="宋体" w:cs="宋体"/>
                      <w:color w:val="000000"/>
                      <w:sz w:val="21"/>
                      <w:szCs w:val="21"/>
                    </w:rPr>
                    <w:t>我公司按照市场和客户要求进行销售，公司会组织多部门进行市场调查，多方收集信息，提供质量优等的产品。</w:t>
                  </w:r>
                </w:p>
                <w:p>
                  <w:pPr>
                    <w:shd w:val="clear" w:color="auto" w:fill="C7DAF1" w:themeFill="text2" w:themeFillTint="32"/>
                  </w:pP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财务风险</w:t>
                  </w:r>
                </w:p>
                <w:p>
                  <w:pPr>
                    <w:shd w:val="clear" w:color="auto" w:fill="C7DAF1" w:themeFill="text2" w:themeFillTint="32"/>
                  </w:pPr>
                </w:p>
              </w:tc>
              <w:tc>
                <w:tcPr>
                  <w:tcW w:w="3965" w:type="dxa"/>
                  <w:vAlign w:val="top"/>
                </w:tcPr>
                <w:p>
                  <w:pPr>
                    <w:spacing w:line="360" w:lineRule="auto"/>
                    <w:ind w:firstLine="420" w:firstLineChars="0"/>
                  </w:pPr>
                  <w:r>
                    <w:rPr>
                      <w:rFonts w:hint="eastAsia" w:ascii="宋体" w:hAnsi="宋体" w:cs="宋体"/>
                      <w:color w:val="000000"/>
                      <w:sz w:val="21"/>
                      <w:szCs w:val="21"/>
                    </w:rPr>
                    <w:t>本公司至少有足够</w:t>
                  </w:r>
                  <w:r>
                    <w:rPr>
                      <w:rFonts w:hint="eastAsia" w:ascii="宋体" w:hAnsi="宋体" w:cs="宋体"/>
                      <w:color w:val="000000"/>
                      <w:sz w:val="21"/>
                      <w:szCs w:val="21"/>
                      <w:lang w:val="en-US" w:eastAsia="zh-CN"/>
                    </w:rPr>
                    <w:t>4</w:t>
                  </w:r>
                  <w:r>
                    <w:rPr>
                      <w:rFonts w:hint="eastAsia" w:ascii="宋体" w:hAnsi="宋体" w:cs="宋体"/>
                      <w:color w:val="000000"/>
                      <w:sz w:val="21"/>
                      <w:szCs w:val="21"/>
                    </w:rPr>
                    <w:t>个月的资金储备，公司内部实行款到发货，不实行欠款服务。</w:t>
                  </w:r>
                </w:p>
              </w:tc>
              <w:tc>
                <w:tcPr>
                  <w:tcW w:w="1717" w:type="dxa"/>
                  <w:vAlign w:val="top"/>
                </w:tcPr>
                <w:p>
                  <w:pPr>
                    <w:shd w:val="clear" w:color="auto" w:fill="C7DAF1" w:themeFill="text2" w:themeFillTint="32"/>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pPr>
                  <w:r>
                    <w:rPr>
                      <w:rFonts w:hint="eastAsia" w:ascii="宋体" w:hAnsi="宋体" w:cs="宋体"/>
                      <w:color w:val="000000"/>
                      <w:sz w:val="21"/>
                      <w:szCs w:val="21"/>
                    </w:rPr>
                    <w:t>服务安全风险</w:t>
                  </w:r>
                </w:p>
              </w:tc>
              <w:tc>
                <w:tcPr>
                  <w:tcW w:w="3965" w:type="dxa"/>
                  <w:vAlign w:val="top"/>
                </w:tcPr>
                <w:p>
                  <w:pPr>
                    <w:shd w:val="clear" w:color="auto" w:fill="C7DAF1" w:themeFill="text2" w:themeFillTint="32"/>
                  </w:pPr>
                  <w:r>
                    <w:rPr>
                      <w:rFonts w:hint="eastAsia" w:ascii="宋体" w:hAnsi="宋体" w:cs="宋体"/>
                      <w:color w:val="000000"/>
                      <w:sz w:val="21"/>
                      <w:szCs w:val="21"/>
                    </w:rPr>
                    <w:t>本公司配备有多个灭火器及防火措施，并组织专门人员定期对销售过程、销售设备环境等进行检查，消除安全隐患，防止发生火灾等不确定性风险。</w:t>
                  </w:r>
                </w:p>
              </w:tc>
              <w:tc>
                <w:tcPr>
                  <w:tcW w:w="1717" w:type="dxa"/>
                  <w:vAlign w:val="top"/>
                </w:tcPr>
                <w:p>
                  <w:pPr>
                    <w:shd w:val="clear" w:color="auto" w:fill="C7DAF1" w:themeFill="text2" w:themeFillTint="32"/>
                  </w:pPr>
                  <w:r>
                    <w:rPr>
                      <w:rFonts w:hint="eastAsia"/>
                      <w:sz w:val="21"/>
                      <w:szCs w:val="21"/>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pPr>
                  <w:r>
                    <w:rPr>
                      <w:rFonts w:hint="eastAsia" w:asciiTheme="minorEastAsia" w:hAnsiTheme="minorEastAsia" w:eastAsiaTheme="minorEastAsia" w:cstheme="minorEastAsia"/>
                      <w:b w:val="0"/>
                      <w:bCs w:val="0"/>
                      <w:color w:val="000000" w:themeColor="text1"/>
                      <w:sz w:val="21"/>
                      <w:szCs w:val="21"/>
                    </w:rPr>
                    <w:t>环境监测不超标，无环境和生态破坏事故；</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隐患排查，月度抽查</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tabs>
                      <w:tab w:val="left" w:pos="2535"/>
                    </w:tabs>
                    <w:spacing w:line="320" w:lineRule="exact"/>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法规、法规符合性100%。</w:t>
                  </w:r>
                </w:p>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通过内审、管理评审、合规性评价</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筑面积 2300 平方米；生产车间  1 个；库房  1  个；实验室   个；</w:t>
            </w:r>
          </w:p>
          <w:p>
            <w:pPr>
              <w:shd w:val="clear" w:color="auto" w:fill="EBF1DE" w:themeFill="accent3" w:themeFillTint="32"/>
              <w:rPr>
                <w:rFonts w:hint="eastAsia"/>
              </w:rPr>
            </w:pPr>
            <w:r>
              <w:rPr>
                <w:rFonts w:hint="eastAsia"/>
              </w:rPr>
              <w:t>主要生产设备有：  刨床、数控车床、铣床、钻床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烟道除尘，布袋集尘</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sym w:font="Wingdings 2" w:char="0052"/>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A3"/>
            </w:r>
            <w:r>
              <w:rPr>
                <w:rFonts w:hint="eastAsia"/>
              </w:rPr>
              <w:t xml:space="preserve">体系文件受控 </w:t>
            </w:r>
            <w:r>
              <w:rPr>
                <w:rFonts w:hint="eastAsia" w:ascii="Wingdings" w:hAnsi="Wingdings"/>
                <w:lang w:eastAsia="zh-CN"/>
              </w:rPr>
              <w:sym w:font="Wingdings 2" w:char="0052"/>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sym w:font="Wingdings 2" w:char="0052"/>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00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005" w:type="dxa"/>
                </w:tcPr>
                <w:p>
                  <w:pPr>
                    <w:shd w:val="clear" w:color="auto" w:fill="EBF1DE" w:themeFill="accent3" w:themeFillTint="32"/>
                    <w:jc w:val="left"/>
                  </w:pPr>
                  <w:r>
                    <w:rPr>
                      <w:rFonts w:hint="eastAsia"/>
                    </w:rPr>
                    <w:t>控制措施</w:t>
                  </w:r>
                </w:p>
              </w:tc>
              <w:tc>
                <w:tcPr>
                  <w:tcW w:w="292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005" w:type="dxa"/>
                  <w:vAlign w:val="top"/>
                </w:tcPr>
                <w:p>
                  <w:pPr>
                    <w:jc w:val="left"/>
                  </w:pPr>
                  <w:r>
                    <w:rPr>
                      <w:rFonts w:hint="eastAsia"/>
                    </w:rPr>
                    <w:sym w:font="Wingdings 2" w:char="0052"/>
                  </w:r>
                  <w:r>
                    <w:rPr>
                      <w:rFonts w:hint="eastAsia"/>
                    </w:rPr>
                    <w:t xml:space="preserve">漏电保护 </w:t>
                  </w:r>
                  <w:r>
                    <w:rPr>
                      <w:rFonts w:hint="eastAsia"/>
                    </w:rPr>
                    <w:sym w:font="Wingdings 2" w:char="00A3"/>
                  </w:r>
                  <w:r>
                    <w:rPr>
                      <w:rFonts w:hint="eastAsia"/>
                    </w:rPr>
                    <w:t>绝缘用具检测</w:t>
                  </w:r>
                </w:p>
              </w:tc>
              <w:tc>
                <w:tcPr>
                  <w:tcW w:w="2925" w:type="dxa"/>
                  <w:vAlign w:val="top"/>
                </w:tcPr>
                <w:p>
                  <w:pPr>
                    <w:jc w:val="left"/>
                    <w:rPr>
                      <w:rFonts w:hint="default" w:eastAsia="宋体"/>
                      <w:lang w:val="en-US" w:eastAsia="zh-CN"/>
                    </w:rPr>
                  </w:pPr>
                  <w:r>
                    <w:rPr>
                      <w:rFonts w:hint="eastAsia"/>
                      <w:lang w:val="en-US" w:eastAsia="zh-CN"/>
                    </w:rPr>
                    <w:t>有少量生活废水排放城市管网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005" w:type="dxa"/>
                  <w:vAlign w:val="top"/>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925" w:type="dxa"/>
                  <w:vAlign w:val="top"/>
                </w:tcPr>
                <w:p>
                  <w:pPr>
                    <w:jc w:val="left"/>
                    <w:rPr>
                      <w:rFonts w:hint="default" w:eastAsia="宋体"/>
                      <w:lang w:val="en-US" w:eastAsia="zh-CN"/>
                    </w:rPr>
                  </w:pPr>
                  <w:r>
                    <w:rPr>
                      <w:rFonts w:hint="eastAsia"/>
                      <w:lang w:val="en-US" w:eastAsia="zh-CN"/>
                    </w:rPr>
                    <w:t>基本不涉及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005" w:type="dxa"/>
                  <w:vAlign w:val="top"/>
                </w:tcPr>
                <w:p>
                  <w:pPr>
                    <w:jc w:val="left"/>
                  </w:pPr>
                  <w:r>
                    <w:rPr>
                      <w:rFonts w:hint="eastAsia"/>
                    </w:rPr>
                    <w:sym w:font="Wingdings 2" w:char="0052"/>
                  </w:r>
                  <w:r>
                    <w:rPr>
                      <w:rFonts w:hint="eastAsia"/>
                    </w:rPr>
                    <w:t xml:space="preserve">设置围堰  </w:t>
                  </w:r>
                  <w:r>
                    <w:rPr>
                      <w:rFonts w:hint="eastAsia"/>
                    </w:rPr>
                    <w:sym w:font="Wingdings 2" w:char="0052"/>
                  </w:r>
                  <w:r>
                    <w:rPr>
                      <w:rFonts w:hint="eastAsia"/>
                    </w:rPr>
                    <w:t xml:space="preserve">排风系统 </w:t>
                  </w:r>
                  <w:r>
                    <w:rPr>
                      <w:rFonts w:hint="eastAsia"/>
                    </w:rPr>
                    <w:sym w:font="Wingdings 2" w:char="0052"/>
                  </w:r>
                  <w:r>
                    <w:rPr>
                      <w:rFonts w:hint="eastAsia"/>
                    </w:rPr>
                    <w:t>穿戴劳保用品</w:t>
                  </w:r>
                </w:p>
              </w:tc>
              <w:tc>
                <w:tcPr>
                  <w:tcW w:w="2925" w:type="dxa"/>
                  <w:vAlign w:val="top"/>
                </w:tcPr>
                <w:p>
                  <w:pPr>
                    <w:jc w:val="left"/>
                    <w:rPr>
                      <w:rFonts w:hint="eastAsia" w:eastAsia="宋体"/>
                      <w:lang w:val="en-US" w:eastAsia="zh-CN"/>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4005" w:type="dxa"/>
                  <w:vAlign w:val="top"/>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925" w:type="dxa"/>
                  <w:vAlign w:val="top"/>
                </w:tcPr>
                <w:p>
                  <w:pPr>
                    <w:jc w:val="left"/>
                    <w:rPr>
                      <w:rFonts w:hint="default"/>
                      <w:lang w:val="en-US"/>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4005" w:type="dxa"/>
                  <w:vAlign w:val="top"/>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925" w:type="dxa"/>
                  <w:vAlign w:val="top"/>
                </w:tcPr>
                <w:p>
                  <w:pPr>
                    <w:jc w:val="left"/>
                    <w:rPr>
                      <w:rFonts w:hint="eastAsia" w:eastAsia="宋体"/>
                      <w:lang w:val="en-US" w:eastAsia="zh-CN"/>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4005" w:type="dxa"/>
                  <w:vAlign w:val="top"/>
                </w:tcPr>
                <w:p>
                  <w:pPr>
                    <w:jc w:val="left"/>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2925" w:type="dxa"/>
                  <w:vAlign w:val="top"/>
                </w:tcPr>
                <w:p>
                  <w:pPr>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005" w:type="dxa"/>
                </w:tcPr>
                <w:p>
                  <w:pPr>
                    <w:shd w:val="clear" w:color="auto" w:fill="EBF1DE" w:themeFill="accent3" w:themeFillTint="32"/>
                    <w:jc w:val="left"/>
                  </w:pPr>
                </w:p>
              </w:tc>
              <w:tc>
                <w:tcPr>
                  <w:tcW w:w="292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危化品</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危化品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w:t>
            </w:r>
            <w:r>
              <w:rPr>
                <w:rFonts w:hint="eastAsia"/>
                <w:u w:val="single"/>
              </w:rPr>
              <w:t xml:space="preserve"> </w:t>
            </w:r>
            <w:r>
              <w:rPr>
                <w:rFonts w:hint="eastAsia"/>
                <w:u w:val="single"/>
                <w:lang w:val="en-US" w:eastAsia="zh-CN"/>
              </w:rPr>
              <w:t>2021</w:t>
            </w:r>
            <w:r>
              <w:rPr>
                <w:rFonts w:hint="eastAsia"/>
              </w:rPr>
              <w:t>年</w:t>
            </w:r>
            <w:r>
              <w:rPr>
                <w:rFonts w:hint="eastAsia"/>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防火</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21-22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lang w:val="en-US" w:eastAsia="zh-CN"/>
              </w:rPr>
              <w:t>7</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81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1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81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07C9C"/>
    <w:rsid w:val="015B7E21"/>
    <w:rsid w:val="06AF7D6D"/>
    <w:rsid w:val="2A1A1867"/>
    <w:rsid w:val="4E9A1D5F"/>
    <w:rsid w:val="52BA2635"/>
    <w:rsid w:val="679669FE"/>
    <w:rsid w:val="7EBA1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2021-09-29T14:00:30Z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