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516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连云港博纳邦威石化设备有限公司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538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2024-N1QMS-1412435</w:t>
            </w:r>
          </w:p>
        </w:tc>
        <w:tc>
          <w:tcPr>
            <w:tcW w:w="3145" w:type="dxa"/>
            <w:vAlign w:val="center"/>
          </w:tcPr>
          <w:p w14:paraId="428F7A98">
            <w:pPr>
              <w:spacing w:line="360" w:lineRule="auto"/>
              <w:jc w:val="left"/>
              <w:rPr>
                <w:rFonts w:asciiTheme="minorEastAsia" w:eastAsiaTheme="minorEastAsia" w:hAnsiTheme="minorEastAsia"/>
              </w:rPr>
            </w:pPr>
            <w:r>
              <w:t>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18.02.06,29.10.07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118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