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财务部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安全事务代表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李鹏利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温红玲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2021.8.14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环境和职业健康安全资金管理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职业健康安全方面的沟通E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/>
                <w:sz w:val="24"/>
                <w:szCs w:val="24"/>
              </w:rPr>
              <w:t>:5.3/6.2/8.1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组织的角色、职责和权限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5.3 </w:t>
            </w:r>
          </w:p>
          <w:p/>
        </w:tc>
        <w:tc>
          <w:tcPr>
            <w:tcW w:w="10004" w:type="dxa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人员和岗位设置（对环境及职业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健康安全负有责任的）：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部门共3人、其中主管1名、财务及出纳各1人；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经过公司员工选举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吴晓燕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为公司的职业健康安全事务代表。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规定了职业健康安全事务代表的职责，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u w:val="none"/>
                <w:lang w:val="en-US" w:eastAsia="zh-CN"/>
              </w:rPr>
              <w:t>吴晓燕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了解并履行自己的职责；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职责和权限：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负责公司财务管理工作，负责与财政、税务部门的关系协调，负责与投资单位的关系协调，负责公司内部预算管理工作；负责识别本部门的环境因素和危险源的辨识评价和控制工作；参与质量、环境、职业健康安全管理方案中的经济、成本分析活动；为建立、实施并持续改进管理体系提供资金支持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未设置环境及安全员、日常环安检查由办公室统一管理；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环境目标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及其实现的策划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GB" w:eastAsia="zh-CN"/>
              </w:rPr>
              <w:t>职业健康安全目标实现职业健康安全目标的策划</w:t>
            </w:r>
          </w:p>
          <w:p/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E6.2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S6.2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10004" w:type="dxa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提供：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lang w:val="en-US" w:eastAsia="zh-CN"/>
              </w:rPr>
              <w:t>环境、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职业健康安全管理目标、指标及管理方案一览表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1.资金保障率100%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lang w:val="en-US"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2.固体废弃物100%分类处理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lang w:val="en-US"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3.火灾事故发生率0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lang w:val="en-US"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4.不发生重大安全事故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lang w:val="en-US"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提供20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lang w:val="en-US" w:eastAsia="zh-CN"/>
              </w:rPr>
              <w:t>4季度、2021年1、2季度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目标统计结果显示完成。</w:t>
            </w: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提供《目标指标和管理方案》制定完成目标指标的方法、资金、时间表和责任人，管理方案可行。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运行策划和控制</w:t>
            </w:r>
          </w:p>
          <w:p/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ES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8.1 </w:t>
            </w:r>
          </w:p>
          <w:p/>
        </w:tc>
        <w:tc>
          <w:tcPr>
            <w:tcW w:w="10004" w:type="dxa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建立、实施和保持了《环境运行控制程序》、《危险源识别、风险评价和风险控制程序》，确定那些与已辨识的、需实施必要控制措施的风险相关的运行和活动任务，并且不同职能和层次的管理者应当针对这些活动任务进行策划，确保其在相应程序和工作指南规定的条件下执行。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水费:4469元电费:47690元、社保:281790元、劳保:1228元、培训费:7010元、垃圾处理费:300元体检2210元消防设施费:735元；</w:t>
            </w:r>
            <w:bookmarkStart w:id="0" w:name="_GoBack"/>
            <w:bookmarkEnd w:id="0"/>
          </w:p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自体系运行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以来未发生安全事故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u w:val="none"/>
                <w:lang w:val="en-US" w:eastAsia="zh-CN"/>
              </w:rPr>
              <w:t>、无职业病发生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61409"/>
    <w:rsid w:val="0D7F4A6A"/>
    <w:rsid w:val="0F712E2C"/>
    <w:rsid w:val="16F84337"/>
    <w:rsid w:val="17EA403A"/>
    <w:rsid w:val="1AF13DAF"/>
    <w:rsid w:val="1ED10AE3"/>
    <w:rsid w:val="2A330932"/>
    <w:rsid w:val="30F515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35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2021-08-14T02:13:04Z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