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石家庄精工水泵有限公司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290" w:type="dxa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</w:t>
            </w:r>
            <w:bookmarkStart w:id="15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提供的“卡尺”校准证书已过期</w:t>
            </w:r>
            <w:bookmarkEnd w:id="15"/>
            <w:r>
              <w:rPr>
                <w:rFonts w:hint="eastAsia" w:ascii="方正仿宋简体" w:eastAsia="方正仿宋简体"/>
                <w:b/>
                <w:lang w:val="en-US" w:eastAsia="zh-CN"/>
              </w:rPr>
              <w:t>，未能提供其过期后经校准合格使用的证据。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4" w:name="总组长"/>
            <w:r>
              <w:rPr>
                <w:rFonts w:hint="eastAsia" w:ascii="方正仿宋简体" w:eastAsia="方正仿宋简体"/>
                <w:b/>
                <w:sz w:val="24"/>
              </w:rPr>
              <w:t>吉洁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r>
        <w:rPr>
          <w:rFonts w:eastAsia="方正仿宋简体"/>
          <w:b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27D4"/>
    <w:rsid w:val="66901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2021-08-21T08:22:36Z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