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998"/>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22"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98"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 xml:space="preserve">受审核部门：办公室 </w:t>
            </w:r>
            <w:r>
              <w:rPr>
                <w:sz w:val="24"/>
                <w:szCs w:val="24"/>
              </w:rPr>
              <w:t xml:space="preserve">  </w:t>
            </w:r>
            <w:r>
              <w:rPr>
                <w:rFonts w:hint="eastAsia"/>
                <w:sz w:val="24"/>
                <w:szCs w:val="24"/>
              </w:rPr>
              <w:t xml:space="preserve">主管领导：方金甫 </w:t>
            </w:r>
            <w:r>
              <w:rPr>
                <w:sz w:val="24"/>
                <w:szCs w:val="24"/>
              </w:rPr>
              <w:t xml:space="preserve">  </w:t>
            </w:r>
            <w:r>
              <w:rPr>
                <w:rFonts w:hint="eastAsia"/>
                <w:sz w:val="24"/>
                <w:szCs w:val="24"/>
              </w:rPr>
              <w:t>陪同人员：韩世海</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22" w:type="dxa"/>
            <w:vMerge w:val="continue"/>
            <w:vAlign w:val="center"/>
          </w:tcPr>
          <w:p/>
        </w:tc>
        <w:tc>
          <w:tcPr>
            <w:tcW w:w="998" w:type="dxa"/>
            <w:vMerge w:val="continue"/>
            <w:vAlign w:val="center"/>
          </w:tcPr>
          <w:p/>
        </w:tc>
        <w:tc>
          <w:tcPr>
            <w:tcW w:w="10004" w:type="dxa"/>
            <w:vAlign w:val="center"/>
          </w:tcPr>
          <w:p>
            <w:pPr>
              <w:spacing w:before="120"/>
              <w:rPr>
                <w:sz w:val="24"/>
                <w:szCs w:val="24"/>
              </w:rPr>
            </w:pPr>
            <w:r>
              <w:rPr>
                <w:rFonts w:hint="eastAsia"/>
                <w:sz w:val="24"/>
                <w:szCs w:val="24"/>
              </w:rPr>
              <w:t xml:space="preserve">审核员：林兵、任泽华、石帆、肖新龙（远程）  </w:t>
            </w:r>
            <w:r>
              <w:rPr>
                <w:sz w:val="24"/>
                <w:szCs w:val="24"/>
              </w:rPr>
              <w:t xml:space="preserve"> </w:t>
            </w:r>
            <w:r>
              <w:rPr>
                <w:rFonts w:hint="eastAsia"/>
                <w:sz w:val="24"/>
                <w:szCs w:val="24"/>
              </w:rPr>
              <w:t>审核时间：2</w:t>
            </w:r>
            <w:r>
              <w:rPr>
                <w:sz w:val="24"/>
                <w:szCs w:val="24"/>
              </w:rPr>
              <w:t>021.8.21</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2" w:type="dxa"/>
            <w:vMerge w:val="continue"/>
            <w:vAlign w:val="center"/>
          </w:tcPr>
          <w:p/>
        </w:tc>
        <w:tc>
          <w:tcPr>
            <w:tcW w:w="998" w:type="dxa"/>
            <w:vMerge w:val="continue"/>
            <w:vAlign w:val="center"/>
          </w:tcPr>
          <w:p/>
        </w:tc>
        <w:tc>
          <w:tcPr>
            <w:tcW w:w="10004" w:type="dxa"/>
            <w:vAlign w:val="center"/>
          </w:tcPr>
          <w:p>
            <w:pPr>
              <w:rPr>
                <w:sz w:val="24"/>
                <w:szCs w:val="24"/>
              </w:rPr>
            </w:pPr>
            <w:r>
              <w:rPr>
                <w:rFonts w:hint="eastAsia"/>
                <w:sz w:val="24"/>
                <w:szCs w:val="24"/>
              </w:rPr>
              <w:t>审核条款</w:t>
            </w:r>
          </w:p>
          <w:p>
            <w:pPr>
              <w:rPr>
                <w:sz w:val="24"/>
                <w:szCs w:val="24"/>
              </w:rPr>
            </w:pPr>
            <w:r>
              <w:rPr>
                <w:rFonts w:hint="eastAsia"/>
                <w:sz w:val="24"/>
                <w:szCs w:val="24"/>
              </w:rPr>
              <w:t>E/O:6.1.2、6.1.3、 6.2、7.2、7.3、7.5、 9.1.2、9.2、9.3</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998" w:type="dxa"/>
          </w:tcPr>
          <w:p>
            <w:pPr>
              <w:spacing w:line="280" w:lineRule="exact"/>
              <w:rPr>
                <w:rFonts w:ascii="宋体" w:hAnsi="宋体" w:cs="宋体"/>
                <w:szCs w:val="21"/>
              </w:rPr>
            </w:pPr>
            <w:r>
              <w:rPr>
                <w:rFonts w:ascii="宋体" w:cs="宋体"/>
                <w:szCs w:val="21"/>
              </w:rPr>
              <w:t>E</w:t>
            </w:r>
            <w:r>
              <w:rPr>
                <w:szCs w:val="21"/>
              </w:rPr>
              <w:t>O</w:t>
            </w:r>
            <w:r>
              <w:rPr>
                <w:rFonts w:ascii="宋体" w:cs="宋体"/>
                <w:szCs w:val="21"/>
              </w:rPr>
              <w:t>5.3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办公室按照公司领导要求，做好公司职能和岗位的具体确定，对从事与销售有关的管理、执行和验证人员规定其职责、权限及其相互关系，以实现公司管理方针和管理目标。</w:t>
            </w:r>
          </w:p>
          <w:p>
            <w:pPr>
              <w:spacing w:line="280" w:lineRule="exact"/>
              <w:ind w:firstLine="420" w:firstLineChars="200"/>
              <w:rPr>
                <w:rFonts w:ascii="宋体" w:hAnsi="宋体" w:cs="宋体"/>
                <w:szCs w:val="21"/>
              </w:rPr>
            </w:pPr>
            <w:r>
              <w:rPr>
                <w:rFonts w:hint="eastAsia" w:ascii="宋体" w:hAnsi="宋体" w:cs="宋体"/>
                <w:szCs w:val="21"/>
              </w:rPr>
              <w:t>办公室本部门人员较为简单，在手册中确定了办公室部门的的职能，人员职责、权限和相互关系。</w:t>
            </w:r>
          </w:p>
          <w:p>
            <w:pPr>
              <w:spacing w:line="280" w:lineRule="exact"/>
              <w:ind w:firstLine="420" w:firstLineChars="200"/>
              <w:rPr>
                <w:rFonts w:ascii="宋体" w:hAnsi="宋体" w:cs="宋体"/>
                <w:szCs w:val="21"/>
              </w:rPr>
            </w:pPr>
            <w:r>
              <w:rPr>
                <w:rFonts w:hint="eastAsia" w:ascii="宋体" w:hAnsi="宋体" w:cs="宋体"/>
                <w:szCs w:val="21"/>
              </w:rPr>
              <w:t>询问办公室主任方金甫，基本清楚本部门职责。</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环境因素识别、危险源识别</w:t>
            </w:r>
          </w:p>
        </w:tc>
        <w:tc>
          <w:tcPr>
            <w:tcW w:w="998" w:type="dxa"/>
          </w:tcPr>
          <w:p>
            <w:pPr>
              <w:spacing w:line="280" w:lineRule="exact"/>
              <w:rPr>
                <w:rFonts w:ascii="宋体" w:hAnsi="宋体" w:cs="宋体"/>
                <w:szCs w:val="21"/>
              </w:rPr>
            </w:pPr>
            <w:r>
              <w:rPr>
                <w:rFonts w:hint="eastAsia" w:ascii="宋体" w:hAnsi="宋体" w:cs="宋体"/>
                <w:szCs w:val="21"/>
              </w:rPr>
              <w:t>E</w:t>
            </w:r>
            <w:r>
              <w:rPr>
                <w:rFonts w:ascii="宋体" w:hAnsi="宋体" w:cs="宋体"/>
                <w:szCs w:val="21"/>
              </w:rPr>
              <w:t>6.1</w:t>
            </w:r>
            <w:r>
              <w:rPr>
                <w:rFonts w:hint="eastAsia" w:ascii="宋体" w:hAnsi="宋体" w:cs="宋体"/>
                <w:szCs w:val="21"/>
              </w:rPr>
              <w:t>.</w:t>
            </w:r>
            <w:r>
              <w:rPr>
                <w:rFonts w:ascii="宋体" w:hAnsi="宋体" w:cs="宋体"/>
                <w:szCs w:val="21"/>
              </w:rPr>
              <w:t>2</w:t>
            </w:r>
          </w:p>
          <w:p>
            <w:pPr>
              <w:spacing w:line="280" w:lineRule="exact"/>
              <w:rPr>
                <w:rFonts w:ascii="宋体" w:hAnsi="宋体" w:cs="宋体"/>
                <w:szCs w:val="21"/>
              </w:rPr>
            </w:pPr>
            <w:r>
              <w:rPr>
                <w:szCs w:val="21"/>
              </w:rPr>
              <w:t>O</w:t>
            </w:r>
            <w:r>
              <w:rPr>
                <w:rFonts w:ascii="宋体" w:hAnsi="宋体" w:cs="宋体"/>
                <w:szCs w:val="21"/>
              </w:rPr>
              <w:t>6.1.2</w:t>
            </w:r>
          </w:p>
        </w:tc>
        <w:tc>
          <w:tcPr>
            <w:tcW w:w="10004" w:type="dxa"/>
            <w:vAlign w:val="center"/>
          </w:tcPr>
          <w:p>
            <w:pPr>
              <w:spacing w:line="280" w:lineRule="exact"/>
              <w:ind w:firstLine="420" w:firstLineChars="200"/>
              <w:rPr>
                <w:szCs w:val="21"/>
              </w:rPr>
            </w:pPr>
            <w:r>
              <w:rPr>
                <w:rFonts w:hint="eastAsia"/>
                <w:szCs w:val="21"/>
              </w:rPr>
              <w:t>1)提供《环境因素识别评价管理程序》用以指导进行环境因素的识别、登记评价，以确定重要环境因素以及对环境因素的定期更新，环境因素的识别和确定考虑生命周期观点。</w:t>
            </w:r>
          </w:p>
          <w:p>
            <w:pPr>
              <w:spacing w:line="280" w:lineRule="exact"/>
              <w:ind w:firstLine="420" w:firstLineChars="200"/>
              <w:rPr>
                <w:szCs w:val="21"/>
              </w:rPr>
            </w:pPr>
            <w:r>
              <w:rPr>
                <w:rFonts w:hint="eastAsia"/>
                <w:szCs w:val="21"/>
              </w:rPr>
              <w:t>提供了“环境因素调查表”，识别的环境因素标明时态、状态和对环境的影响；经查阅识别出对在办公活动中产生的纸张等消耗、固废排放、生活废水排放、触电、火灾等</w:t>
            </w:r>
            <w:r>
              <w:rPr>
                <w:szCs w:val="21"/>
              </w:rPr>
              <w:t>39</w:t>
            </w:r>
            <w:r>
              <w:rPr>
                <w:rFonts w:hint="eastAsia"/>
                <w:szCs w:val="21"/>
              </w:rPr>
              <w:t xml:space="preserve">项环境因素及考虑到环境管理体系发生变更时可能产生的环境因素。编制：办公室 </w:t>
            </w:r>
            <w:r>
              <w:rPr>
                <w:szCs w:val="21"/>
              </w:rPr>
              <w:t xml:space="preserve"> </w:t>
            </w:r>
            <w:r>
              <w:rPr>
                <w:rFonts w:hint="eastAsia"/>
                <w:szCs w:val="21"/>
              </w:rPr>
              <w:t>审核：方金甫    批准：傅吉峰  日期：202</w:t>
            </w:r>
            <w:r>
              <w:rPr>
                <w:szCs w:val="21"/>
              </w:rPr>
              <w:t>1</w:t>
            </w:r>
            <w:r>
              <w:rPr>
                <w:rFonts w:hint="eastAsia"/>
                <w:szCs w:val="21"/>
              </w:rPr>
              <w:t>.</w:t>
            </w:r>
            <w:r>
              <w:rPr>
                <w:szCs w:val="21"/>
              </w:rPr>
              <w:t>4</w:t>
            </w:r>
            <w:r>
              <w:rPr>
                <w:rFonts w:hint="eastAsia"/>
                <w:szCs w:val="21"/>
              </w:rPr>
              <w:t>.</w:t>
            </w:r>
            <w:r>
              <w:rPr>
                <w:szCs w:val="21"/>
              </w:rPr>
              <w:t>15</w:t>
            </w:r>
          </w:p>
          <w:p>
            <w:pPr>
              <w:spacing w:line="280" w:lineRule="exact"/>
              <w:ind w:firstLine="420" w:firstLineChars="200"/>
              <w:rPr>
                <w:szCs w:val="21"/>
              </w:rPr>
            </w:pPr>
            <w:r>
              <w:rPr>
                <w:rFonts w:hint="eastAsia"/>
                <w:szCs w:val="21"/>
              </w:rPr>
              <w:t xml:space="preserve">重要环境因素采用经验/直接判断法，由各部门有管理经验的人员共同讨论、采用直接判断的方法确定重要环境因素，提供了“重要环境因素清单”：本部门的重要环境因素：危废（墨盒、硒鼓、灯管）排放；火灾，能源资源消耗；提供了针对重要环境因素，编的环境目标、指标及管理方案，内容包括：目标、指标、管理措施、完成时间、资金投入等。编制：办公室 </w:t>
            </w:r>
            <w:r>
              <w:rPr>
                <w:szCs w:val="21"/>
              </w:rPr>
              <w:t xml:space="preserve"> </w:t>
            </w:r>
            <w:r>
              <w:rPr>
                <w:rFonts w:hint="eastAsia"/>
                <w:szCs w:val="21"/>
              </w:rPr>
              <w:t>审核：方金甫  批准：傅吉峰  日期：202</w:t>
            </w:r>
            <w:r>
              <w:rPr>
                <w:szCs w:val="21"/>
              </w:rPr>
              <w:t>1</w:t>
            </w:r>
            <w:r>
              <w:rPr>
                <w:rFonts w:hint="eastAsia"/>
                <w:szCs w:val="21"/>
              </w:rPr>
              <w:t>.</w:t>
            </w:r>
            <w:r>
              <w:rPr>
                <w:szCs w:val="21"/>
              </w:rPr>
              <w:t>4</w:t>
            </w:r>
            <w:r>
              <w:rPr>
                <w:rFonts w:hint="eastAsia"/>
                <w:szCs w:val="21"/>
              </w:rPr>
              <w:t>.</w:t>
            </w:r>
            <w:r>
              <w:rPr>
                <w:szCs w:val="21"/>
              </w:rPr>
              <w:t>15</w:t>
            </w:r>
          </w:p>
          <w:p>
            <w:pPr>
              <w:spacing w:line="280" w:lineRule="exact"/>
              <w:ind w:firstLine="420" w:firstLineChars="200"/>
              <w:rPr>
                <w:szCs w:val="21"/>
              </w:rPr>
            </w:pPr>
            <w:r>
              <w:rPr>
                <w:rFonts w:hint="eastAsia"/>
                <w:szCs w:val="21"/>
              </w:rPr>
              <w:t>2）提供了公司制定《危险源辨识和风险评价控制程序》确保公司在所有管理活动或服务过程中能最大限度、充分地进行危险源辨识与风险性评价，确定不可接受风险并及时更新，实现对危险源与不可接受风险的有效控制。</w:t>
            </w:r>
          </w:p>
          <w:p>
            <w:pPr>
              <w:spacing w:line="280" w:lineRule="exact"/>
              <w:ind w:firstLine="420" w:firstLineChars="200"/>
              <w:rPr>
                <w:szCs w:val="21"/>
              </w:rPr>
            </w:pPr>
            <w:r>
              <w:rPr>
                <w:rFonts w:hint="eastAsia"/>
                <w:szCs w:val="21"/>
              </w:rPr>
              <w:t xml:space="preserve">提供了“危险源辨识和风险评价表”，对活动场所产生的危险源辨识并进行风险评价，以确定控制措施，经查阅已辨识出线路老化、短路隐患，电线漏电、交通事故等情况产生的火灾、触电、交通事故，中暑等意外伤害等危险因素。编制：办公室 </w:t>
            </w:r>
            <w:r>
              <w:rPr>
                <w:szCs w:val="21"/>
              </w:rPr>
              <w:t xml:space="preserve"> </w:t>
            </w:r>
            <w:r>
              <w:rPr>
                <w:rFonts w:hint="eastAsia"/>
                <w:szCs w:val="21"/>
              </w:rPr>
              <w:t>审核：方金甫   批准：傅吉峰  日期：202</w:t>
            </w:r>
            <w:r>
              <w:rPr>
                <w:szCs w:val="21"/>
              </w:rPr>
              <w:t>1</w:t>
            </w:r>
            <w:r>
              <w:rPr>
                <w:rFonts w:hint="eastAsia"/>
                <w:szCs w:val="21"/>
              </w:rPr>
              <w:t>.</w:t>
            </w:r>
            <w:r>
              <w:rPr>
                <w:szCs w:val="21"/>
              </w:rPr>
              <w:t>4</w:t>
            </w:r>
            <w:r>
              <w:rPr>
                <w:rFonts w:hint="eastAsia"/>
                <w:szCs w:val="21"/>
              </w:rPr>
              <w:t>.</w:t>
            </w:r>
            <w:r>
              <w:rPr>
                <w:szCs w:val="21"/>
              </w:rPr>
              <w:t>15</w:t>
            </w:r>
          </w:p>
          <w:p>
            <w:pPr>
              <w:spacing w:line="280" w:lineRule="exact"/>
              <w:ind w:firstLine="420" w:firstLineChars="200"/>
              <w:rPr>
                <w:b/>
                <w:szCs w:val="21"/>
              </w:rPr>
            </w:pPr>
            <w:r>
              <w:rPr>
                <w:rFonts w:hint="eastAsia"/>
                <w:szCs w:val="21"/>
              </w:rPr>
              <w:t xml:space="preserve">由各部门有管理经验的人员共同讨论、采用直接判断的方法确定不可接受风险。提供了“不可接受风险清单”涉及本部门的不可接受风险有：火灾，触电，噪音等；针对不可接受风险编制了职业健康安全目标、指标及管理方案，内容包括：目标、指标、管理措施、完成时间、资金投入等；编制：办公室 </w:t>
            </w:r>
            <w:r>
              <w:rPr>
                <w:szCs w:val="21"/>
              </w:rPr>
              <w:t xml:space="preserve"> </w:t>
            </w:r>
            <w:r>
              <w:rPr>
                <w:rFonts w:hint="eastAsia"/>
                <w:szCs w:val="21"/>
              </w:rPr>
              <w:t>审核：方金甫    批准：傅吉峰  日期：202</w:t>
            </w:r>
            <w:r>
              <w:rPr>
                <w:szCs w:val="21"/>
              </w:rPr>
              <w:t>1</w:t>
            </w:r>
            <w:r>
              <w:rPr>
                <w:rFonts w:hint="eastAsia"/>
                <w:szCs w:val="21"/>
              </w:rPr>
              <w:t>.</w:t>
            </w:r>
            <w:r>
              <w:rPr>
                <w:szCs w:val="21"/>
              </w:rPr>
              <w:t>4</w:t>
            </w:r>
            <w:r>
              <w:rPr>
                <w:rFonts w:hint="eastAsia"/>
                <w:szCs w:val="21"/>
              </w:rPr>
              <w:t>.</w:t>
            </w:r>
            <w:r>
              <w:rPr>
                <w:szCs w:val="21"/>
              </w:rPr>
              <w:t>15</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rFonts w:ascii="宋体" w:hAnsi="宋体" w:cs="宋体"/>
                <w:szCs w:val="21"/>
              </w:rPr>
            </w:pPr>
            <w:r>
              <w:rPr>
                <w:rFonts w:hint="eastAsia" w:ascii="宋体" w:hAnsi="宋体" w:cs="宋体"/>
                <w:szCs w:val="21"/>
              </w:rPr>
              <w:t>环境和职业健康安全的合规义务</w:t>
            </w:r>
          </w:p>
          <w:p>
            <w:pPr>
              <w:spacing w:line="280" w:lineRule="exact"/>
              <w:rPr>
                <w:rFonts w:ascii="宋体" w:hAnsi="宋体" w:cs="宋体"/>
                <w:szCs w:val="21"/>
              </w:rPr>
            </w:pPr>
            <w:r>
              <w:rPr>
                <w:rFonts w:hint="eastAsia" w:ascii="宋体" w:hAnsi="宋体" w:cs="宋体"/>
                <w:szCs w:val="21"/>
              </w:rPr>
              <w:t>合规性评价</w:t>
            </w:r>
          </w:p>
        </w:tc>
        <w:tc>
          <w:tcPr>
            <w:tcW w:w="998" w:type="dxa"/>
          </w:tcPr>
          <w:p>
            <w:pPr>
              <w:spacing w:line="280" w:lineRule="exact"/>
              <w:rPr>
                <w:rFonts w:ascii="宋体" w:hAnsi="宋体" w:cs="宋体"/>
                <w:szCs w:val="21"/>
              </w:rPr>
            </w:pPr>
            <w:r>
              <w:rPr>
                <w:rFonts w:ascii="宋体" w:hAnsi="宋体" w:cs="宋体"/>
                <w:szCs w:val="21"/>
              </w:rPr>
              <w:t>EO6.1.3</w:t>
            </w:r>
          </w:p>
          <w:p>
            <w:pPr>
              <w:spacing w:line="280" w:lineRule="exact"/>
              <w:rPr>
                <w:rFonts w:ascii="宋体" w:hAnsi="宋体" w:cs="宋体"/>
                <w:szCs w:val="21"/>
              </w:rPr>
            </w:pPr>
            <w:r>
              <w:rPr>
                <w:szCs w:val="21"/>
              </w:rPr>
              <w:t>E0</w:t>
            </w:r>
            <w:r>
              <w:rPr>
                <w:rFonts w:ascii="宋体" w:hAnsi="宋体" w:cs="宋体"/>
                <w:szCs w:val="21"/>
              </w:rPr>
              <w:t>9.1.2</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编制了《法律法规其他要求和合规性评价控制程序》对合规义务和合规性评价进行了管理。公司建立、实施并保持程序来识别与公司的活动、产品和服务有关的法律、法规和其它要求，并建立获取这些要求的渠道。确定适用的法律、法规和其它要求如何运用到公司的活动、产品和服务以及相关的环境因素和风险因素。查所提供的《法律法规及其他要求清单及合规性评价》，包括环保法、消防法、安全生产法、产品质量法、突发事件应对法、水污染防治法及其实施细则、国家危险废物名录、危险化学品安全管理办法、大气污染防治条例、安全生产条例等；识别了各法律法规及具体的条款要求（如中华人民共和国劳动法：第三条、第三十八条 、第三十九条、第四十一条、第四十四条、第五十条 、第六章、第八章 、第九章等），并进行了合规性情况评价，基本涵盖所涉及的各相关方。</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2122"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E</w:t>
            </w:r>
            <w:r>
              <w:rPr>
                <w:szCs w:val="21"/>
              </w:rPr>
              <w:t>O</w:t>
            </w:r>
            <w:r>
              <w:rPr>
                <w:rFonts w:hint="eastAsia"/>
                <w:szCs w:val="21"/>
              </w:rPr>
              <w:t>6.1.4</w:t>
            </w:r>
          </w:p>
          <w:p>
            <w:pPr>
              <w:spacing w:line="280" w:lineRule="exact"/>
              <w:rPr>
                <w:rFonts w:ascii="宋体" w:hAnsi="宋体" w:cs="宋体"/>
                <w:szCs w:val="21"/>
              </w:rPr>
            </w:pPr>
          </w:p>
        </w:tc>
        <w:tc>
          <w:tcPr>
            <w:tcW w:w="10004" w:type="dxa"/>
            <w:vAlign w:val="center"/>
          </w:tcPr>
          <w:p>
            <w:pPr>
              <w:spacing w:line="280" w:lineRule="exact"/>
              <w:ind w:firstLine="420" w:firstLineChars="200"/>
              <w:rPr>
                <w:szCs w:val="21"/>
              </w:rPr>
            </w:pPr>
            <w:r>
              <w:rPr>
                <w:rFonts w:hint="eastAsia" w:ascii="宋体" w:hAnsi="宋体" w:cs="宋体"/>
                <w:kern w:val="0"/>
                <w:szCs w:val="21"/>
              </w:rPr>
              <w:t>在制定环境和职业健康安全目标指标时，</w:t>
            </w:r>
            <w:r>
              <w:rPr>
                <w:rFonts w:hint="eastAsia" w:ascii="宋体" w:hAnsi="宋体" w:cs="宋体"/>
                <w:szCs w:val="21"/>
              </w:rPr>
              <w:t>办公室负责制定环境、职业健康安全目标及管理方案，总经理傅吉峰负责批准。环境、职业健康安全管理方案中明确为实现环境、职业健康安全目标和指标的责任部门；规定实现环境、职业健康安全目标和指标的时间；具体措施和经费预算；都由总经理批准。环境、职业健康安全管理方案的实施，办公室每半年对方案实施情况进行检查跟踪，向总经理报告；一般在管理评审之前对环境、职业健康安全目标及管理方案由办公室对其进行评审，并将完成情况以书面形式呈报管理者代表，以便提交管理评审。</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998" w:type="dxa"/>
          </w:tcPr>
          <w:p>
            <w:pPr>
              <w:spacing w:line="280" w:lineRule="exact"/>
              <w:rPr>
                <w:szCs w:val="21"/>
              </w:rPr>
            </w:pPr>
            <w:r>
              <w:rPr>
                <w:rFonts w:hint="eastAsia"/>
                <w:szCs w:val="21"/>
              </w:rPr>
              <w:t>E</w:t>
            </w:r>
            <w:r>
              <w:rPr>
                <w:szCs w:val="21"/>
              </w:rPr>
              <w:t>O</w:t>
            </w:r>
            <w:r>
              <w:rPr>
                <w:rFonts w:hint="eastAsia"/>
                <w:szCs w:val="21"/>
              </w:rPr>
              <w:t>6.2.1</w:t>
            </w:r>
          </w:p>
        </w:tc>
        <w:tc>
          <w:tcPr>
            <w:tcW w:w="10004" w:type="dxa"/>
            <w:vAlign w:val="center"/>
          </w:tcPr>
          <w:p>
            <w:pPr>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ind w:firstLine="420" w:firstLineChars="200"/>
              <w:rPr>
                <w:rFonts w:ascii="宋体" w:hAnsi="宋体" w:cs="宋体"/>
                <w:szCs w:val="21"/>
              </w:rPr>
            </w:pPr>
            <w:r>
              <w:rPr>
                <w:rFonts w:hint="eastAsia" w:ascii="宋体" w:hAnsi="宋体" w:cs="宋体"/>
                <w:szCs w:val="21"/>
              </w:rPr>
              <w:t>办公室涉及的目标及实现情况是：</w:t>
            </w:r>
          </w:p>
          <w:p>
            <w:pPr>
              <w:ind w:firstLine="420" w:firstLineChars="200"/>
              <w:rPr>
                <w:rFonts w:ascii="宋体" w:hAnsi="宋体" w:cs="宋体"/>
                <w:szCs w:val="21"/>
              </w:rPr>
            </w:pPr>
            <w:r>
              <w:drawing>
                <wp:inline distT="0" distB="0" distL="0" distR="0">
                  <wp:extent cx="4909185" cy="2248535"/>
                  <wp:effectExtent l="0" t="0" r="571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921896" cy="2254781"/>
                          </a:xfrm>
                          <a:prstGeom prst="rect">
                            <a:avLst/>
                          </a:prstGeom>
                        </pic:spPr>
                      </pic:pic>
                    </a:graphicData>
                  </a:graphic>
                </wp:inline>
              </w:drawing>
            </w:r>
          </w:p>
          <w:p>
            <w:pPr>
              <w:ind w:firstLine="420" w:firstLineChars="200"/>
              <w:rPr>
                <w:rFonts w:ascii="宋体" w:hAnsi="宋体" w:cs="宋体"/>
                <w:szCs w:val="21"/>
              </w:rPr>
            </w:pPr>
            <w:r>
              <w:rPr>
                <w:rFonts w:hint="eastAsia" w:ascii="宋体" w:hAnsi="宋体" w:cs="宋体"/>
                <w:szCs w:val="21"/>
              </w:rPr>
              <w:t>目标可测量，与公司管理方针一致。</w:t>
            </w:r>
          </w:p>
          <w:p>
            <w:pPr>
              <w:ind w:firstLine="420" w:firstLineChars="200"/>
              <w:rPr>
                <w:rFonts w:ascii="宋体" w:hAnsi="宋体" w:cs="宋体"/>
                <w:szCs w:val="21"/>
              </w:rPr>
            </w:pPr>
            <w:r>
              <w:rPr>
                <w:rFonts w:hint="eastAsia" w:ascii="宋体" w:hAnsi="宋体" w:cs="宋体"/>
                <w:szCs w:val="21"/>
              </w:rPr>
              <w:t>具体由办公室按公司管理目标考核要求统计考核公司管理目标完成情况，提交管理评审会议。查到今年4-</w:t>
            </w:r>
            <w:r>
              <w:rPr>
                <w:rFonts w:ascii="宋体" w:hAnsi="宋体" w:cs="宋体"/>
                <w:szCs w:val="21"/>
              </w:rPr>
              <w:t>6</w:t>
            </w:r>
            <w:r>
              <w:rPr>
                <w:rFonts w:hint="eastAsia" w:ascii="宋体" w:hAnsi="宋体" w:cs="宋体"/>
                <w:szCs w:val="21"/>
              </w:rPr>
              <w:t>月的公司管理目标完成情况，各项目标均已完成，编制人方金甫，审批人傅吉峰。</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122" w:type="dxa"/>
          </w:tcPr>
          <w:p>
            <w:pPr>
              <w:spacing w:line="280" w:lineRule="exact"/>
              <w:rPr>
                <w:rFonts w:ascii="宋体" w:hAnsi="宋体" w:cs="宋体"/>
                <w:szCs w:val="21"/>
              </w:rPr>
            </w:pPr>
            <w:r>
              <w:rPr>
                <w:rFonts w:hint="eastAsia" w:ascii="宋体" w:hAnsi="宋体" w:cs="宋体"/>
                <w:szCs w:val="21"/>
              </w:rPr>
              <w:t>环境/职业健康安全目标实现措施策划</w:t>
            </w:r>
          </w:p>
        </w:tc>
        <w:tc>
          <w:tcPr>
            <w:tcW w:w="998" w:type="dxa"/>
          </w:tcPr>
          <w:p>
            <w:pPr>
              <w:spacing w:line="280" w:lineRule="exact"/>
              <w:rPr>
                <w:szCs w:val="21"/>
              </w:rPr>
            </w:pPr>
            <w:r>
              <w:rPr>
                <w:rFonts w:hint="eastAsia"/>
                <w:szCs w:val="21"/>
              </w:rPr>
              <w:t>E</w:t>
            </w:r>
            <w:r>
              <w:rPr>
                <w:szCs w:val="21"/>
              </w:rPr>
              <w:t>O</w:t>
            </w:r>
            <w:r>
              <w:rPr>
                <w:rFonts w:hint="eastAsia"/>
                <w:szCs w:val="21"/>
              </w:rPr>
              <w:t xml:space="preserve"> 6.2.2</w:t>
            </w:r>
          </w:p>
        </w:tc>
        <w:tc>
          <w:tcPr>
            <w:tcW w:w="10004" w:type="dxa"/>
            <w:vAlign w:val="center"/>
          </w:tcPr>
          <w:p>
            <w:pPr>
              <w:ind w:firstLine="420" w:firstLineChars="200"/>
              <w:rPr>
                <w:rFonts w:ascii="宋体" w:hAnsi="宋体" w:cs="宋体"/>
                <w:szCs w:val="21"/>
              </w:rPr>
            </w:pPr>
            <w:r>
              <w:rPr>
                <w:rFonts w:hint="eastAsia"/>
                <w:szCs w:val="21"/>
              </w:rPr>
              <w:t>按《环境因素识别评价管理程序》和《危险源辨识和风险评价控制程序》识别的重要环境因素和重大危险制定管理措施，制定</w:t>
            </w:r>
            <w:r>
              <w:rPr>
                <w:rFonts w:hint="eastAsia" w:ascii="宋体" w:hAnsi="宋体" w:cs="宋体"/>
                <w:szCs w:val="21"/>
              </w:rPr>
              <w:t>《环境运行控制程序》、《职业健康安全运行控制程序》、《相关方管理程序》等文件；由办公室统一管理。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能力</w:t>
            </w:r>
          </w:p>
          <w:p>
            <w:pPr>
              <w:spacing w:line="280" w:lineRule="exact"/>
              <w:rPr>
                <w:b/>
                <w:szCs w:val="21"/>
              </w:rPr>
            </w:pPr>
          </w:p>
        </w:tc>
        <w:tc>
          <w:tcPr>
            <w:tcW w:w="998" w:type="dxa"/>
          </w:tcPr>
          <w:p>
            <w:pPr>
              <w:spacing w:line="280" w:lineRule="exact"/>
              <w:rPr>
                <w:b/>
                <w:szCs w:val="21"/>
              </w:rPr>
            </w:pPr>
            <w:r>
              <w:rPr>
                <w:rFonts w:hint="eastAsia" w:ascii="宋体" w:hAnsi="宋体" w:cs="宋体"/>
                <w:color w:val="000000"/>
                <w:kern w:val="0"/>
                <w:szCs w:val="21"/>
              </w:rPr>
              <w:t>E</w:t>
            </w:r>
            <w:r>
              <w:rPr>
                <w:rFonts w:ascii="宋体" w:hAnsi="宋体" w:cs="宋体"/>
                <w:color w:val="000000"/>
                <w:kern w:val="0"/>
                <w:szCs w:val="21"/>
              </w:rPr>
              <w:t>O</w:t>
            </w:r>
            <w:r>
              <w:rPr>
                <w:rFonts w:hint="eastAsia" w:ascii="宋体" w:hAnsi="宋体" w:cs="宋体"/>
                <w:color w:val="000000"/>
                <w:kern w:val="0"/>
                <w:szCs w:val="21"/>
              </w:rPr>
              <w:t>7.2</w:t>
            </w:r>
          </w:p>
        </w:tc>
        <w:tc>
          <w:tcPr>
            <w:tcW w:w="10004" w:type="dxa"/>
            <w:vAlign w:val="center"/>
          </w:tcPr>
          <w:p>
            <w:pPr>
              <w:spacing w:line="280" w:lineRule="exact"/>
              <w:ind w:firstLine="420" w:firstLineChars="200"/>
              <w:rPr>
                <w:rFonts w:ascii="宋体" w:hAnsi="宋体" w:cs="宋体"/>
                <w:color w:val="000000"/>
                <w:kern w:val="0"/>
                <w:szCs w:val="21"/>
              </w:rPr>
            </w:pPr>
            <w:r>
              <w:rPr>
                <w:rFonts w:hint="eastAsia" w:ascii="宋体" w:hAnsi="宋体" w:cs="宋体"/>
                <w:szCs w:val="21"/>
              </w:rPr>
              <w:t>公司对各岗位能力规定的要求包括了专业技能、岗位资格、能力、工作经验等。</w:t>
            </w:r>
            <w:r>
              <w:rPr>
                <w:rFonts w:hint="eastAsia" w:ascii="宋体" w:hAnsi="宋体" w:cs="宋体"/>
                <w:color w:val="000000"/>
                <w:kern w:val="0"/>
                <w:szCs w:val="21"/>
              </w:rPr>
              <w:t>提供《员工能力评定表》主要对公司骨干员工进行了能力的确认。抽查</w:t>
            </w:r>
            <w:r>
              <w:rPr>
                <w:rFonts w:hint="eastAsia" w:ascii="宋体" w:hAnsi="宋体" w:cs="宋体"/>
                <w:szCs w:val="21"/>
              </w:rPr>
              <w:t>生产计划部负责人沈妙宏的岗位能力评定表，分别从年龄、教育程度、经验、经历、技能要求等方面进行了评定，最终确认结果：满足要求。</w:t>
            </w:r>
            <w:r>
              <w:rPr>
                <w:rFonts w:hint="eastAsia" w:ascii="宋体" w:hAnsi="宋体" w:cs="宋体"/>
                <w:color w:val="000000"/>
                <w:kern w:val="0"/>
                <w:szCs w:val="21"/>
              </w:rPr>
              <w:t>总体评价：符合上岗要求，准予上岗。</w:t>
            </w:r>
          </w:p>
          <w:p>
            <w:pPr>
              <w:spacing w:line="280" w:lineRule="exact"/>
              <w:ind w:firstLine="420" w:firstLineChars="200"/>
              <w:rPr>
                <w:szCs w:val="21"/>
              </w:rPr>
            </w:pPr>
            <w:r>
              <w:rPr>
                <w:rFonts w:hint="eastAsia"/>
                <w:szCs w:val="21"/>
              </w:rPr>
              <w:t>查20</w:t>
            </w:r>
            <w:r>
              <w:rPr>
                <w:szCs w:val="21"/>
              </w:rPr>
              <w:t>21</w:t>
            </w:r>
            <w:r>
              <w:rPr>
                <w:rFonts w:hint="eastAsia"/>
                <w:szCs w:val="21"/>
              </w:rPr>
              <w:t>年培训计划培训，内容包括环境和职业</w:t>
            </w:r>
            <w:bookmarkStart w:id="0" w:name="_GoBack"/>
            <w:bookmarkEnd w:id="0"/>
            <w:r>
              <w:rPr>
                <w:rFonts w:hint="eastAsia"/>
                <w:szCs w:val="21"/>
              </w:rPr>
              <w:t>健康安全基础知识培训</w:t>
            </w:r>
            <w:r>
              <w:rPr>
                <w:rFonts w:hint="eastAsia" w:ascii="宋体" w:hAnsi="宋体" w:cs="宋体"/>
                <w:szCs w:val="21"/>
              </w:rPr>
              <w:t>，方针目标</w:t>
            </w:r>
            <w:r>
              <w:rPr>
                <w:rFonts w:hint="eastAsia"/>
                <w:szCs w:val="21"/>
              </w:rPr>
              <w:t>，5</w:t>
            </w:r>
            <w:r>
              <w:rPr>
                <w:szCs w:val="21"/>
              </w:rPr>
              <w:t>S</w:t>
            </w:r>
            <w:r>
              <w:rPr>
                <w:rFonts w:hint="eastAsia"/>
                <w:szCs w:val="21"/>
              </w:rPr>
              <w:t>制度、管理体系标准、环境因素</w:t>
            </w:r>
            <w:r>
              <w:rPr>
                <w:szCs w:val="21"/>
              </w:rPr>
              <w:t>/</w:t>
            </w:r>
            <w:r>
              <w:rPr>
                <w:rFonts w:hint="eastAsia"/>
                <w:szCs w:val="21"/>
              </w:rPr>
              <w:t>危险源识别、评价与控制、内审员培训、安全及火灾应急培训等</w:t>
            </w:r>
            <w:r>
              <w:rPr>
                <w:szCs w:val="21"/>
              </w:rPr>
              <w:t>13</w:t>
            </w:r>
            <w:r>
              <w:rPr>
                <w:rFonts w:hint="eastAsia"/>
                <w:szCs w:val="21"/>
              </w:rPr>
              <w:t>项。</w:t>
            </w:r>
          </w:p>
          <w:p>
            <w:pPr>
              <w:spacing w:line="280" w:lineRule="exact"/>
              <w:ind w:firstLine="420" w:firstLineChars="200"/>
              <w:rPr>
                <w:szCs w:val="21"/>
              </w:rPr>
            </w:pPr>
            <w:r>
              <w:rPr>
                <w:rFonts w:hint="eastAsia"/>
                <w:szCs w:val="21"/>
              </w:rPr>
              <w:t>抽查《培训记录》：</w:t>
            </w:r>
          </w:p>
          <w:p>
            <w:pPr>
              <w:spacing w:line="280" w:lineRule="exact"/>
              <w:ind w:firstLine="420" w:firstLineChars="200"/>
              <w:rPr>
                <w:szCs w:val="21"/>
              </w:rPr>
            </w:pPr>
            <w:r>
              <w:rPr>
                <w:rFonts w:hint="eastAsia"/>
                <w:szCs w:val="21"/>
              </w:rPr>
              <w:t>1、</w:t>
            </w:r>
            <w:r>
              <w:rPr>
                <w:rFonts w:hint="eastAsia" w:ascii="宋体" w:hAnsi="宋体" w:cs="宋体"/>
                <w:szCs w:val="21"/>
              </w:rPr>
              <w:t>20</w:t>
            </w:r>
            <w:r>
              <w:rPr>
                <w:rFonts w:ascii="宋体" w:hAnsi="宋体" w:cs="宋体"/>
                <w:szCs w:val="21"/>
              </w:rPr>
              <w:t>21</w:t>
            </w:r>
            <w:r>
              <w:rPr>
                <w:rFonts w:hint="eastAsia" w:ascii="宋体" w:hAnsi="宋体" w:cs="宋体"/>
                <w:szCs w:val="21"/>
              </w:rPr>
              <w:t>-</w:t>
            </w:r>
            <w:r>
              <w:rPr>
                <w:rFonts w:ascii="宋体" w:hAnsi="宋体" w:cs="宋体"/>
                <w:szCs w:val="21"/>
              </w:rPr>
              <w:t>6</w:t>
            </w:r>
            <w:r>
              <w:rPr>
                <w:rFonts w:hint="eastAsia" w:ascii="宋体" w:hAnsi="宋体" w:cs="宋体"/>
                <w:szCs w:val="21"/>
              </w:rPr>
              <w:t>-</w:t>
            </w:r>
            <w:r>
              <w:rPr>
                <w:rFonts w:ascii="宋体" w:hAnsi="宋体" w:cs="宋体"/>
                <w:szCs w:val="21"/>
              </w:rPr>
              <w:t>15</w:t>
            </w:r>
            <w:r>
              <w:rPr>
                <w:rFonts w:hint="eastAsia"/>
                <w:szCs w:val="21"/>
              </w:rPr>
              <w:t>：对环境、职业健康安全管理方针、目标及管理方案培训进行了培训。培训老师：咨询老师，参加人员：各部门人员等。通过问答对理解情况进行考核，培训有效性评价结论为有效，评价人：傅吉峰。填表人：方金甫，时间为2</w:t>
            </w:r>
            <w:r>
              <w:rPr>
                <w:szCs w:val="21"/>
              </w:rPr>
              <w:t>021.6.15</w:t>
            </w:r>
          </w:p>
          <w:p>
            <w:pPr>
              <w:spacing w:line="280" w:lineRule="exact"/>
              <w:ind w:firstLine="420" w:firstLineChars="200"/>
              <w:rPr>
                <w:szCs w:val="21"/>
              </w:rPr>
            </w:pPr>
            <w:r>
              <w:rPr>
                <w:rFonts w:hint="eastAsia"/>
                <w:szCs w:val="21"/>
              </w:rPr>
              <w:t>2、</w:t>
            </w:r>
            <w:r>
              <w:rPr>
                <w:rFonts w:hint="eastAsia" w:ascii="宋体" w:hAnsi="宋体" w:cs="宋体"/>
                <w:szCs w:val="21"/>
              </w:rPr>
              <w:t>20</w:t>
            </w:r>
            <w:r>
              <w:rPr>
                <w:rFonts w:ascii="宋体" w:hAnsi="宋体" w:cs="宋体"/>
                <w:szCs w:val="21"/>
              </w:rPr>
              <w:t>21</w:t>
            </w:r>
            <w:r>
              <w:rPr>
                <w:rFonts w:hint="eastAsia" w:ascii="宋体" w:hAnsi="宋体" w:cs="宋体"/>
                <w:szCs w:val="21"/>
              </w:rPr>
              <w:t>-</w:t>
            </w:r>
            <w:r>
              <w:rPr>
                <w:rFonts w:ascii="宋体" w:hAnsi="宋体" w:cs="宋体"/>
                <w:szCs w:val="21"/>
              </w:rPr>
              <w:t>6</w:t>
            </w:r>
            <w:r>
              <w:rPr>
                <w:rFonts w:hint="eastAsia" w:ascii="宋体" w:hAnsi="宋体" w:cs="宋体"/>
                <w:szCs w:val="21"/>
              </w:rPr>
              <w:t>-</w:t>
            </w:r>
            <w:r>
              <w:rPr>
                <w:rFonts w:ascii="宋体" w:hAnsi="宋体" w:cs="宋体"/>
                <w:szCs w:val="21"/>
              </w:rPr>
              <w:t>28</w:t>
            </w:r>
            <w:r>
              <w:rPr>
                <w:rFonts w:hint="eastAsia"/>
                <w:szCs w:val="21"/>
              </w:rPr>
              <w:t>：对环境和职业健康安全管理体系文件再培训，参加人：各部门负责人及主要员工等，培训老师：方金甫。通过问答对理解情况进行考核，考核结果：全部通过。验证人：方金甫。</w:t>
            </w:r>
          </w:p>
          <w:p>
            <w:pPr>
              <w:spacing w:line="280" w:lineRule="exact"/>
              <w:ind w:firstLine="420" w:firstLineChars="200"/>
              <w:rPr>
                <w:szCs w:val="21"/>
              </w:rPr>
            </w:pPr>
            <w:r>
              <w:rPr>
                <w:rFonts w:hint="eastAsia"/>
                <w:szCs w:val="21"/>
              </w:rPr>
              <w:t>3、20</w:t>
            </w:r>
            <w:r>
              <w:rPr>
                <w:szCs w:val="21"/>
              </w:rPr>
              <w:t>21</w:t>
            </w:r>
            <w:r>
              <w:rPr>
                <w:rFonts w:hint="eastAsia"/>
                <w:szCs w:val="21"/>
              </w:rPr>
              <w:t>-</w:t>
            </w:r>
            <w:r>
              <w:rPr>
                <w:szCs w:val="21"/>
              </w:rPr>
              <w:t>7</w:t>
            </w:r>
            <w:r>
              <w:rPr>
                <w:rFonts w:hint="eastAsia"/>
                <w:szCs w:val="21"/>
              </w:rPr>
              <w:t>-</w:t>
            </w:r>
            <w:r>
              <w:rPr>
                <w:szCs w:val="21"/>
              </w:rPr>
              <w:t>20</w:t>
            </w:r>
            <w:r>
              <w:rPr>
                <w:rFonts w:hint="eastAsia"/>
                <w:szCs w:val="21"/>
              </w:rPr>
              <w:t>：进行了环境因素识别、危险源辨别培训，内容包括环境因素识别与评价控制程序及具体的实施要求，培训老师：方金甫。参加人：所有员工。通过问答对理解情况进行考核，考核结果：全部通过。验证人：方金甫。</w:t>
            </w:r>
          </w:p>
          <w:p>
            <w:pPr>
              <w:spacing w:line="280" w:lineRule="exact"/>
              <w:ind w:firstLine="420" w:firstLineChars="200"/>
              <w:rPr>
                <w:rFonts w:hint="eastAsia"/>
                <w:color w:val="FF0000"/>
                <w:szCs w:val="21"/>
              </w:rPr>
            </w:pPr>
            <w:r>
              <w:rPr>
                <w:rFonts w:hint="eastAsia"/>
                <w:color w:val="FF0000"/>
                <w:szCs w:val="21"/>
              </w:rPr>
              <w:t>询问标准宣贯培训情况，方主任表示在体系导入初期开展了环境和职业健康安全管理体系标准宣贯培训，但未提供开展培训的证据，开具不符合报告。</w:t>
            </w:r>
          </w:p>
          <w:p>
            <w:pPr>
              <w:spacing w:line="280" w:lineRule="exact"/>
              <w:ind w:firstLine="420" w:firstLineChars="200"/>
              <w:rPr>
                <w:b/>
                <w:szCs w:val="21"/>
              </w:rPr>
            </w:pPr>
            <w:r>
              <w:rPr>
                <w:rFonts w:hint="eastAsia"/>
                <w:szCs w:val="21"/>
              </w:rPr>
              <w:t>特殊工种：抽查叉车（机动车辆驾驶证）沈怀军，有效期至2</w:t>
            </w:r>
            <w:r>
              <w:rPr>
                <w:szCs w:val="21"/>
              </w:rPr>
              <w:t>022.4.17</w:t>
            </w:r>
            <w:r>
              <w:rPr>
                <w:rFonts w:hint="eastAsia"/>
                <w:szCs w:val="21"/>
              </w:rPr>
              <w:t>。提供了电工作业（一个高压电工、三个低压电工，抽低压电工李世兴（证号T</w:t>
            </w:r>
            <w:r>
              <w:rPr>
                <w:szCs w:val="21"/>
              </w:rPr>
              <w:t>511524198502224676</w:t>
            </w:r>
            <w:r>
              <w:rPr>
                <w:rFonts w:hint="eastAsia"/>
                <w:szCs w:val="21"/>
              </w:rPr>
              <w:t>，有效期2</w:t>
            </w:r>
            <w:r>
              <w:rPr>
                <w:szCs w:val="21"/>
              </w:rPr>
              <w:t>024</w:t>
            </w:r>
            <w:r>
              <w:rPr>
                <w:rFonts w:hint="eastAsia"/>
                <w:szCs w:val="21"/>
              </w:rPr>
              <w:t>-</w:t>
            </w:r>
            <w:r>
              <w:rPr>
                <w:szCs w:val="21"/>
              </w:rPr>
              <w:t>2</w:t>
            </w:r>
            <w:r>
              <w:rPr>
                <w:rFonts w:hint="eastAsia"/>
                <w:szCs w:val="21"/>
              </w:rPr>
              <w:t>-</w:t>
            </w:r>
            <w:r>
              <w:rPr>
                <w:szCs w:val="21"/>
              </w:rPr>
              <w:t>25</w:t>
            </w:r>
            <w:r>
              <w:rPr>
                <w:rFonts w:hint="eastAsia"/>
                <w:szCs w:val="21"/>
              </w:rPr>
              <w:t>。）），另外提供了消防安全知识培训、特种设备安全管理和作业人员证书等，基本符合要求。</w:t>
            </w:r>
          </w:p>
        </w:tc>
        <w:tc>
          <w:tcPr>
            <w:tcW w:w="1585" w:type="dxa"/>
          </w:tcPr>
          <w:p>
            <w:r>
              <w:rPr>
                <w:rFonts w:hint="eastAsia"/>
              </w:rPr>
              <w:t>Y</w:t>
            </w:r>
          </w:p>
          <w:p/>
          <w:p/>
          <w:p/>
          <w:p/>
          <w:p/>
          <w:p/>
          <w:p/>
          <w:p/>
          <w:p/>
          <w:p/>
          <w:p/>
          <w:p/>
          <w:p>
            <w:r>
              <w:rPr>
                <w:rFonts w:hint="eastAsia"/>
              </w:rPr>
              <w:t>N</w:t>
            </w:r>
          </w:p>
          <w:p/>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22" w:type="dxa"/>
          </w:tcPr>
          <w:p>
            <w:pPr>
              <w:spacing w:line="280" w:lineRule="exact"/>
              <w:rPr>
                <w:b/>
                <w:szCs w:val="21"/>
              </w:rPr>
            </w:pPr>
            <w:r>
              <w:rPr>
                <w:rFonts w:hint="eastAsia" w:ascii="宋体" w:hAnsi="宋体" w:cs="宋体"/>
                <w:color w:val="000000"/>
                <w:kern w:val="0"/>
                <w:szCs w:val="21"/>
              </w:rPr>
              <w:t>意识</w:t>
            </w:r>
          </w:p>
        </w:tc>
        <w:tc>
          <w:tcPr>
            <w:tcW w:w="998" w:type="dxa"/>
          </w:tcPr>
          <w:p>
            <w:pPr>
              <w:spacing w:line="280" w:lineRule="exact"/>
              <w:rPr>
                <w:b/>
                <w:szCs w:val="21"/>
              </w:rPr>
            </w:pPr>
            <w:r>
              <w:rPr>
                <w:rFonts w:ascii="宋体" w:hAnsi="宋体" w:cs="宋体"/>
                <w:color w:val="000000"/>
                <w:kern w:val="0"/>
                <w:szCs w:val="21"/>
              </w:rPr>
              <w:t>O</w:t>
            </w:r>
            <w:r>
              <w:rPr>
                <w:rFonts w:hint="eastAsia" w:ascii="宋体" w:hAnsi="宋体" w:cs="宋体"/>
                <w:color w:val="000000"/>
                <w:kern w:val="0"/>
                <w:szCs w:val="21"/>
              </w:rPr>
              <w:t>E7.3</w:t>
            </w:r>
          </w:p>
        </w:tc>
        <w:tc>
          <w:tcPr>
            <w:tcW w:w="10004" w:type="dxa"/>
            <w:vAlign w:val="center"/>
          </w:tcPr>
          <w:p>
            <w:pPr>
              <w:spacing w:line="280" w:lineRule="exact"/>
              <w:ind w:firstLine="420" w:firstLineChars="200"/>
              <w:rPr>
                <w:szCs w:val="21"/>
              </w:rPr>
            </w:pPr>
            <w:r>
              <w:rPr>
                <w:rFonts w:hint="eastAsia"/>
                <w:szCs w:val="21"/>
              </w:rPr>
              <w:t>通过学习、宣传等方法使在组织控制范围内的相关工作人员知道环境和职业健康安全方针；相关的环境和职业健康安全目标；员工对环境和职业健康安全管理体系有效性的贡献，包括改进环境职业健康安全绩效的益处；不符合环境和职业健康安全管理体系要求的后果。</w:t>
            </w:r>
          </w:p>
          <w:p>
            <w:pPr>
              <w:spacing w:line="280" w:lineRule="exact"/>
              <w:ind w:firstLine="420" w:firstLineChars="200"/>
              <w:rPr>
                <w:b/>
                <w:szCs w:val="21"/>
              </w:rPr>
            </w:pPr>
            <w:r>
              <w:rPr>
                <w:rFonts w:hint="eastAsia"/>
                <w:szCs w:val="21"/>
              </w:rPr>
              <w:t>询问办公室员工朱**知道公司方针，知道所在的工作岗位的环境和职业健康安全目标，也了解自己的工作好坏会影响组织资环境和职业健康安全管理体系的有效运行。</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成文信息</w:t>
            </w:r>
          </w:p>
          <w:p>
            <w:pPr>
              <w:spacing w:line="280" w:lineRule="exact"/>
              <w:rPr>
                <w:rFonts w:ascii="宋体" w:hAnsi="宋体" w:cs="宋体"/>
                <w:szCs w:val="21"/>
              </w:rPr>
            </w:pPr>
          </w:p>
        </w:tc>
        <w:tc>
          <w:tcPr>
            <w:tcW w:w="998" w:type="dxa"/>
          </w:tcPr>
          <w:p>
            <w:pPr>
              <w:spacing w:line="280" w:lineRule="exact"/>
              <w:rPr>
                <w:rFonts w:ascii="宋体" w:hAnsi="宋体" w:cs="宋体"/>
                <w:color w:val="000000"/>
                <w:kern w:val="0"/>
                <w:szCs w:val="21"/>
              </w:rPr>
            </w:pPr>
            <w:r>
              <w:rPr>
                <w:rFonts w:hint="eastAsia" w:ascii="宋体" w:hAnsi="宋体" w:cs="宋体"/>
                <w:color w:val="000000"/>
                <w:kern w:val="0"/>
                <w:szCs w:val="21"/>
              </w:rPr>
              <w:t>EO7.5</w:t>
            </w:r>
          </w:p>
          <w:p>
            <w:pPr>
              <w:spacing w:line="280" w:lineRule="exact"/>
              <w:rPr>
                <w:rFonts w:ascii="宋体" w:hAnsi="宋体" w:cs="宋体"/>
                <w:color w:val="000000"/>
                <w:kern w:val="0"/>
                <w:szCs w:val="21"/>
              </w:rPr>
            </w:pPr>
          </w:p>
        </w:tc>
        <w:tc>
          <w:tcPr>
            <w:tcW w:w="10004" w:type="dxa"/>
            <w:vAlign w:val="center"/>
          </w:tcPr>
          <w:p>
            <w:pPr>
              <w:spacing w:line="280" w:lineRule="exact"/>
              <w:ind w:firstLine="420" w:firstLineChars="200"/>
              <w:rPr>
                <w:szCs w:val="21"/>
              </w:rPr>
            </w:pPr>
            <w:r>
              <w:rPr>
                <w:rFonts w:hint="eastAsia"/>
                <w:szCs w:val="21"/>
              </w:rPr>
              <w:t>公司形成了文件化的管理手册、程序文件、三级管理文件以及所要求的记录。公司编制的程序文件基本符合标准要求的所有程序文件，第三层次文件对体系及其相互关系在手册中做了描述，记录表单满足公司目前的质量体系运行的需要。</w:t>
            </w:r>
          </w:p>
          <w:p>
            <w:pPr>
              <w:spacing w:line="280" w:lineRule="exact"/>
              <w:ind w:firstLine="420" w:firstLineChars="200"/>
              <w:rPr>
                <w:szCs w:val="21"/>
              </w:rPr>
            </w:pPr>
            <w:r>
              <w:rPr>
                <w:rFonts w:hint="eastAsia"/>
                <w:szCs w:val="21"/>
              </w:rPr>
              <w:t>公司文件分类：一级文件：管理手册。</w:t>
            </w:r>
          </w:p>
          <w:p>
            <w:pPr>
              <w:spacing w:line="280" w:lineRule="exact"/>
              <w:ind w:firstLine="420" w:firstLineChars="200"/>
              <w:rPr>
                <w:szCs w:val="21"/>
              </w:rPr>
            </w:pPr>
            <w:r>
              <w:rPr>
                <w:rFonts w:hint="eastAsia"/>
                <w:szCs w:val="21"/>
              </w:rPr>
              <w:t>二级文件：公司编制了程序文件，包括环境和职业健康安全标准要求的所有程序。</w:t>
            </w:r>
          </w:p>
          <w:p>
            <w:pPr>
              <w:spacing w:line="280" w:lineRule="exact"/>
              <w:ind w:firstLine="420" w:firstLineChars="200"/>
              <w:rPr>
                <w:szCs w:val="21"/>
              </w:rPr>
            </w:pPr>
            <w:r>
              <w:rPr>
                <w:rFonts w:hint="eastAsia"/>
                <w:szCs w:val="21"/>
              </w:rPr>
              <w:t>三层次文件：制度和作业指导书，外来文件：包括产品国家标准，环境、职业健康安全及运行记录，满足公司目前的管理体系运行的需要。体系文件基本能保证有效性和效率的要求。</w:t>
            </w:r>
          </w:p>
          <w:p>
            <w:pPr>
              <w:spacing w:line="280" w:lineRule="exact"/>
              <w:ind w:firstLine="420" w:firstLineChars="200"/>
              <w:rPr>
                <w:szCs w:val="21"/>
              </w:rPr>
            </w:pPr>
            <w:r>
              <w:rPr>
                <w:rFonts w:hint="eastAsia"/>
                <w:szCs w:val="21"/>
              </w:rPr>
              <w:t>查公司按照文审要求对管理手册进行了修改，符合要求。</w:t>
            </w:r>
          </w:p>
          <w:p>
            <w:pPr>
              <w:spacing w:line="280" w:lineRule="exact"/>
              <w:ind w:firstLine="420" w:firstLineChars="200"/>
              <w:rPr>
                <w:szCs w:val="21"/>
              </w:rPr>
            </w:pPr>
            <w:r>
              <w:rPr>
                <w:rFonts w:hint="eastAsia"/>
                <w:szCs w:val="21"/>
              </w:rPr>
              <w:t>公司编制并实施了《文件管理程序》，文件包括：手册、三体系的程序文件、危化品批发过程质量检查考核标准、废弃物管理制度、安全教育管理制度等。</w:t>
            </w:r>
          </w:p>
          <w:p>
            <w:pPr>
              <w:snapToGrid w:val="0"/>
              <w:spacing w:line="280" w:lineRule="exact"/>
              <w:ind w:firstLine="420" w:firstLineChars="200"/>
              <w:rPr>
                <w:szCs w:val="21"/>
              </w:rPr>
            </w:pPr>
            <w:r>
              <w:rPr>
                <w:rFonts w:hint="eastAsia"/>
                <w:szCs w:val="21"/>
              </w:rPr>
              <w:t>无企业标准。</w:t>
            </w:r>
          </w:p>
          <w:p>
            <w:pPr>
              <w:spacing w:line="280" w:lineRule="exact"/>
              <w:ind w:firstLine="420" w:firstLineChars="200"/>
              <w:rPr>
                <w:szCs w:val="21"/>
              </w:rPr>
            </w:pPr>
            <w:r>
              <w:rPr>
                <w:rFonts w:hint="eastAsia"/>
                <w:szCs w:val="21"/>
              </w:rPr>
              <w:t>查管理手册、程序文件等文件，编制：办公室，审核：方金甫，批准：傅吉峰，</w:t>
            </w:r>
            <w:r>
              <w:rPr>
                <w:rFonts w:hint="eastAsia" w:ascii="宋体" w:hAnsi="宋体" w:cs="宋体"/>
                <w:szCs w:val="21"/>
              </w:rPr>
              <w:t>202</w:t>
            </w:r>
            <w:r>
              <w:rPr>
                <w:rFonts w:ascii="宋体" w:hAnsi="宋体" w:cs="宋体"/>
                <w:szCs w:val="21"/>
              </w:rPr>
              <w:t>1</w:t>
            </w:r>
            <w:r>
              <w:rPr>
                <w:rFonts w:hint="eastAsia" w:ascii="宋体" w:hAnsi="宋体" w:cs="宋体"/>
                <w:szCs w:val="21"/>
              </w:rPr>
              <w:t>年</w:t>
            </w:r>
            <w:r>
              <w:rPr>
                <w:rFonts w:ascii="宋体" w:hAnsi="宋体" w:cs="宋体"/>
                <w:szCs w:val="21"/>
              </w:rPr>
              <w:t>4</w:t>
            </w:r>
            <w:r>
              <w:rPr>
                <w:rFonts w:hint="eastAsia" w:ascii="宋体" w:hAnsi="宋体" w:cs="宋体"/>
                <w:szCs w:val="21"/>
              </w:rPr>
              <w:t>月1</w:t>
            </w:r>
            <w:r>
              <w:rPr>
                <w:rFonts w:ascii="宋体" w:hAnsi="宋体" w:cs="宋体"/>
                <w:szCs w:val="21"/>
              </w:rPr>
              <w:t>5</w:t>
            </w:r>
            <w:r>
              <w:rPr>
                <w:rFonts w:hint="eastAsia" w:ascii="宋体" w:hAnsi="宋体" w:cs="宋体"/>
                <w:szCs w:val="21"/>
              </w:rPr>
              <w:t>日</w:t>
            </w:r>
            <w:r>
              <w:rPr>
                <w:rFonts w:hint="eastAsia"/>
                <w:szCs w:val="21"/>
              </w:rPr>
              <w:t>，查文件编审批手续齐全、文件清晰、编号符合文件控制程序要求。查办公室文件，都有受控标识，有效版本。</w:t>
            </w:r>
          </w:p>
          <w:p>
            <w:pPr>
              <w:spacing w:line="280" w:lineRule="exact"/>
              <w:ind w:firstLine="420" w:firstLineChars="200"/>
              <w:rPr>
                <w:szCs w:val="21"/>
              </w:rPr>
            </w:pPr>
            <w:r>
              <w:rPr>
                <w:rFonts w:hint="eastAsia"/>
                <w:szCs w:val="21"/>
              </w:rPr>
              <w:t>查外来文件：与产品要求和环境和职业健康安全管理体系运行有关的国家法律法规、标准等；行业、地方颁布的条例、标准、规范、规程、办法等，查外来文件具体有环境管理体系标准、职业健康安全管理体系标准等，如</w:t>
            </w:r>
            <w:r>
              <w:rPr>
                <w:rFonts w:hint="eastAsia" w:ascii="宋体" w:hAnsi="宋体" w:cs="宋体"/>
                <w:szCs w:val="21"/>
              </w:rPr>
              <w:t>环保法、消防法、安全生产法、产品质量法、突发事件应对法、水污染防治法及其实施细则、国家危险废物名录、危险化学品安全管理办法、浙江省大气污染防治条例、浙江省安全生产条例</w:t>
            </w:r>
            <w:r>
              <w:rPr>
                <w:rFonts w:hint="eastAsia"/>
                <w:szCs w:val="21"/>
              </w:rPr>
              <w:t>等。</w:t>
            </w:r>
          </w:p>
          <w:p>
            <w:pPr>
              <w:spacing w:line="280" w:lineRule="exact"/>
              <w:ind w:firstLine="420" w:firstLineChars="200"/>
              <w:rPr>
                <w:szCs w:val="21"/>
              </w:rPr>
            </w:pPr>
            <w:r>
              <w:rPr>
                <w:rFonts w:hint="eastAsia"/>
                <w:szCs w:val="21"/>
              </w:rPr>
              <w:t>查文件发放：办公室</w:t>
            </w:r>
            <w:r>
              <w:rPr>
                <w:rFonts w:hint="eastAsia" w:ascii="宋体" w:hAnsi="宋体" w:cs="宋体"/>
                <w:szCs w:val="21"/>
              </w:rPr>
              <w:t>20</w:t>
            </w:r>
            <w:r>
              <w:rPr>
                <w:rFonts w:ascii="宋体" w:hAnsi="宋体" w:cs="宋体"/>
                <w:szCs w:val="21"/>
              </w:rPr>
              <w:t>21</w:t>
            </w:r>
            <w:r>
              <w:rPr>
                <w:rFonts w:hint="eastAsia" w:ascii="宋体" w:hAnsi="宋体" w:cs="宋体"/>
                <w:szCs w:val="21"/>
              </w:rPr>
              <w:t>年</w:t>
            </w:r>
            <w:r>
              <w:rPr>
                <w:rFonts w:ascii="宋体" w:hAnsi="宋体" w:cs="宋体"/>
                <w:szCs w:val="21"/>
              </w:rPr>
              <w:t>4</w:t>
            </w:r>
            <w:r>
              <w:rPr>
                <w:rFonts w:hint="eastAsia" w:ascii="宋体" w:hAnsi="宋体" w:cs="宋体"/>
                <w:szCs w:val="21"/>
              </w:rPr>
              <w:t>月</w:t>
            </w:r>
            <w:r>
              <w:rPr>
                <w:rFonts w:ascii="宋体" w:hAnsi="宋体" w:cs="宋体"/>
                <w:szCs w:val="21"/>
              </w:rPr>
              <w:t>15</w:t>
            </w:r>
            <w:r>
              <w:rPr>
                <w:rFonts w:hint="eastAsia" w:ascii="宋体" w:hAnsi="宋体" w:cs="宋体"/>
                <w:szCs w:val="21"/>
              </w:rPr>
              <w:t>日</w:t>
            </w:r>
            <w:r>
              <w:rPr>
                <w:rFonts w:hint="eastAsia"/>
                <w:szCs w:val="21"/>
              </w:rPr>
              <w:t>下发了环境和职业健康安全管理手册、程序文件等文件。</w:t>
            </w:r>
          </w:p>
          <w:p>
            <w:pPr>
              <w:spacing w:line="280" w:lineRule="exact"/>
              <w:ind w:firstLine="420" w:firstLineChars="200"/>
              <w:rPr>
                <w:szCs w:val="21"/>
              </w:rPr>
            </w:pPr>
            <w:r>
              <w:rPr>
                <w:rFonts w:hint="eastAsia"/>
                <w:szCs w:val="21"/>
              </w:rPr>
              <w:t>查办公室文件有标识，检索方便，文件夹存放于文件柜内，防护符合要求。</w:t>
            </w:r>
          </w:p>
          <w:p>
            <w:pPr>
              <w:spacing w:line="280" w:lineRule="exact"/>
              <w:ind w:firstLine="420" w:firstLineChars="200"/>
              <w:rPr>
                <w:szCs w:val="21"/>
              </w:rPr>
            </w:pPr>
            <w:r>
              <w:rPr>
                <w:rFonts w:hint="eastAsia"/>
                <w:szCs w:val="21"/>
              </w:rPr>
              <w:t>公司编制并实施了《记录管理程序》对管理体系记录的标识、贮存、保护、检索、保存期限和处置等作了明确规定，符合要求。公司提供《记录清单》—有内审报告、供方评价表、危险源清单、环境因素清单、管理评审报告等记录。明确了记录名称、编号、使用保存部门、保存期限等，并经审核后使用。公司各种记录由各使用部门保存，查阅办公室保存的记录环境情况，归档文件、记录存放于通风、干燥、防蛀的文件柜内，环境干燥、通风，符合文件归档的要求。</w:t>
            </w:r>
          </w:p>
          <w:p>
            <w:pPr>
              <w:spacing w:line="280" w:lineRule="exact"/>
              <w:ind w:firstLine="420" w:firstLineChars="200"/>
              <w:rPr>
                <w:szCs w:val="21"/>
              </w:rPr>
            </w:pPr>
            <w:r>
              <w:rPr>
                <w:rFonts w:hint="eastAsia"/>
                <w:szCs w:val="21"/>
              </w:rPr>
              <w:t>抽查归档文件整理情况，办公室已将文件进行了分类，按文件的名称、编号及时间装文件袋进行归档，文件较清洁，字迹清晰，检索方便，抽查有内部审核资料、管理评审资料等，均已装订成册。</w:t>
            </w:r>
          </w:p>
          <w:p>
            <w:pPr>
              <w:spacing w:line="280" w:lineRule="exact"/>
              <w:ind w:firstLine="420" w:firstLineChars="200"/>
              <w:rPr>
                <w:szCs w:val="21"/>
              </w:rPr>
            </w:pPr>
            <w:r>
              <w:rPr>
                <w:rFonts w:hint="eastAsia"/>
                <w:szCs w:val="21"/>
              </w:rPr>
              <w:t>外来记录（如顾客投诉记录等）由相关部门负责保管、归档。</w:t>
            </w:r>
          </w:p>
          <w:p>
            <w:pPr>
              <w:spacing w:line="280" w:lineRule="exact"/>
              <w:ind w:firstLine="420" w:firstLineChars="200"/>
              <w:rPr>
                <w:szCs w:val="21"/>
              </w:rPr>
            </w:pPr>
            <w:r>
              <w:rPr>
                <w:rFonts w:hint="eastAsia"/>
                <w:szCs w:val="21"/>
              </w:rPr>
              <w:t>原件记录原则上不外借，其它记录查阅时须有关部门同意后，方可查阅。</w:t>
            </w:r>
          </w:p>
          <w:p>
            <w:pPr>
              <w:spacing w:line="280" w:lineRule="exact"/>
              <w:ind w:firstLine="420" w:firstLineChars="200"/>
              <w:rPr>
                <w:rFonts w:ascii="宋体" w:hAnsi="宋体" w:cs="宋体"/>
                <w:szCs w:val="21"/>
              </w:rPr>
            </w:pPr>
            <w:r>
              <w:rPr>
                <w:rFonts w:hint="eastAsia"/>
                <w:szCs w:val="21"/>
              </w:rPr>
              <w:t>提供了作废文件记录：有作废理由、作废日期及申请部门、审核人签字。记录控制基本有效。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szCs w:val="21"/>
              </w:rPr>
            </w:pPr>
            <w:r>
              <w:rPr>
                <w:rFonts w:hint="eastAsia"/>
                <w:szCs w:val="21"/>
              </w:rPr>
              <w:t>运行策划和控制</w:t>
            </w:r>
          </w:p>
          <w:p>
            <w:pPr>
              <w:spacing w:line="280" w:lineRule="exact"/>
              <w:rPr>
                <w:b/>
                <w:szCs w:val="21"/>
              </w:rPr>
            </w:pPr>
          </w:p>
        </w:tc>
        <w:tc>
          <w:tcPr>
            <w:tcW w:w="998" w:type="dxa"/>
          </w:tcPr>
          <w:p>
            <w:pPr>
              <w:spacing w:line="280" w:lineRule="exact"/>
              <w:rPr>
                <w:b/>
                <w:szCs w:val="21"/>
              </w:rPr>
            </w:pPr>
            <w:r>
              <w:rPr>
                <w:rFonts w:hint="eastAsia"/>
                <w:szCs w:val="21"/>
              </w:rPr>
              <w:t>E</w:t>
            </w:r>
            <w:r>
              <w:rPr>
                <w:szCs w:val="21"/>
              </w:rPr>
              <w:t>O</w:t>
            </w:r>
            <w:r>
              <w:rPr>
                <w:rFonts w:hint="eastAsia"/>
                <w:szCs w:val="21"/>
              </w:rPr>
              <w:t>8.1</w:t>
            </w:r>
          </w:p>
        </w:tc>
        <w:tc>
          <w:tcPr>
            <w:tcW w:w="10004" w:type="dxa"/>
            <w:vAlign w:val="center"/>
          </w:tcPr>
          <w:p>
            <w:pPr>
              <w:spacing w:line="280" w:lineRule="exact"/>
              <w:ind w:firstLine="421"/>
              <w:rPr>
                <w:rFonts w:ascii="宋体" w:hAnsi="宋体" w:cs="宋体"/>
                <w:szCs w:val="21"/>
              </w:rPr>
            </w:pPr>
            <w:r>
              <w:rPr>
                <w:rFonts w:hint="eastAsia" w:ascii="宋体" w:hAnsi="宋体" w:cs="宋体"/>
                <w:szCs w:val="21"/>
              </w:rPr>
              <w:t>编制与环境、安全管理体系运行控制有关的文件有《环境运行控制程序》、《职业健康安全运行控制程序》、《相关方管理程序》等。</w:t>
            </w:r>
          </w:p>
          <w:p>
            <w:pPr>
              <w:spacing w:line="280" w:lineRule="exact"/>
              <w:ind w:firstLine="421"/>
              <w:rPr>
                <w:rFonts w:ascii="宋体" w:hAnsi="宋体" w:cs="宋体"/>
                <w:szCs w:val="21"/>
              </w:rPr>
            </w:pPr>
            <w:r>
              <w:rPr>
                <w:rFonts w:hint="eastAsia" w:ascii="宋体" w:hAnsi="宋体" w:cs="宋体"/>
                <w:szCs w:val="21"/>
              </w:rPr>
              <w:t>1、废水管控</w:t>
            </w:r>
          </w:p>
          <w:p>
            <w:pPr>
              <w:spacing w:line="280" w:lineRule="exact"/>
              <w:ind w:firstLine="421"/>
              <w:rPr>
                <w:rFonts w:ascii="宋体" w:hAnsi="宋体" w:cs="宋体"/>
                <w:szCs w:val="21"/>
              </w:rPr>
            </w:pPr>
            <w:r>
              <w:rPr>
                <w:rFonts w:hint="eastAsia" w:ascii="宋体" w:hAnsi="宋体" w:cs="宋体"/>
                <w:szCs w:val="21"/>
              </w:rPr>
              <w:t>主要生活废水排入政府污水管网统一处理。</w:t>
            </w:r>
          </w:p>
          <w:p>
            <w:pPr>
              <w:spacing w:line="280" w:lineRule="exact"/>
              <w:ind w:firstLine="421"/>
              <w:rPr>
                <w:rFonts w:ascii="宋体" w:hAnsi="宋体" w:cs="宋体"/>
                <w:szCs w:val="21"/>
              </w:rPr>
            </w:pPr>
            <w:r>
              <w:rPr>
                <w:rFonts w:hint="eastAsia" w:ascii="宋体" w:hAnsi="宋体" w:cs="宋体"/>
                <w:szCs w:val="21"/>
              </w:rPr>
              <w:t>2、废气管控</w:t>
            </w:r>
          </w:p>
          <w:p>
            <w:pPr>
              <w:spacing w:line="280" w:lineRule="exact"/>
              <w:ind w:firstLine="421"/>
              <w:rPr>
                <w:rFonts w:ascii="宋体" w:hAnsi="宋体" w:cs="宋体"/>
                <w:szCs w:val="21"/>
              </w:rPr>
            </w:pPr>
            <w:r>
              <w:rPr>
                <w:rFonts w:hint="eastAsia" w:ascii="宋体" w:hAnsi="宋体" w:cs="宋体"/>
                <w:szCs w:val="21"/>
              </w:rPr>
              <w:t>办公现场基本无废气排放。</w:t>
            </w:r>
          </w:p>
          <w:p>
            <w:pPr>
              <w:spacing w:line="280" w:lineRule="exact"/>
              <w:ind w:firstLine="421"/>
              <w:rPr>
                <w:rFonts w:ascii="宋体" w:hAnsi="宋体" w:cs="宋体"/>
                <w:szCs w:val="21"/>
              </w:rPr>
            </w:pPr>
            <w:r>
              <w:rPr>
                <w:rFonts w:hint="eastAsia" w:ascii="宋体" w:hAnsi="宋体" w:cs="宋体"/>
                <w:szCs w:val="21"/>
              </w:rPr>
              <w:t>3、噪声管控</w:t>
            </w:r>
          </w:p>
          <w:p>
            <w:pPr>
              <w:spacing w:line="280" w:lineRule="exact"/>
              <w:ind w:firstLine="421"/>
              <w:rPr>
                <w:rFonts w:ascii="宋体" w:hAnsi="宋体" w:cs="宋体"/>
                <w:szCs w:val="21"/>
              </w:rPr>
            </w:pPr>
            <w:r>
              <w:rPr>
                <w:rFonts w:hint="eastAsia" w:ascii="宋体" w:hAnsi="宋体" w:cs="宋体"/>
                <w:szCs w:val="21"/>
              </w:rPr>
              <w:t>办公噪声主要是复印机运行，噪声较低，采取措施按时清洁保养。</w:t>
            </w:r>
          </w:p>
          <w:p>
            <w:pPr>
              <w:spacing w:line="280" w:lineRule="exact"/>
              <w:ind w:firstLine="421"/>
              <w:rPr>
                <w:rFonts w:ascii="宋体" w:hAnsi="宋体" w:cs="宋体"/>
                <w:szCs w:val="21"/>
              </w:rPr>
            </w:pPr>
            <w:r>
              <w:rPr>
                <w:rFonts w:hint="eastAsia" w:ascii="宋体" w:hAnsi="宋体" w:cs="宋体"/>
                <w:szCs w:val="21"/>
              </w:rPr>
              <w:t>4、固废管控</w:t>
            </w:r>
          </w:p>
          <w:p>
            <w:pPr>
              <w:spacing w:line="280" w:lineRule="exact"/>
              <w:ind w:firstLine="421"/>
              <w:rPr>
                <w:rFonts w:ascii="宋体" w:hAnsi="宋体" w:cs="宋体"/>
                <w:szCs w:val="21"/>
              </w:rPr>
            </w:pPr>
            <w:r>
              <w:rPr>
                <w:rFonts w:hint="eastAsia" w:ascii="宋体" w:hAnsi="宋体" w:cs="宋体"/>
                <w:szCs w:val="21"/>
              </w:rPr>
              <w:t>主要为生活垃圾，办公室有垃圾篓集中倒入物业提供的垃圾桶由物业统一集中处理。危废（墨盒、硒鼓）排放等一般原供应商直接收回；火灾，能源资源消耗主要做好节能节水等工作。。</w:t>
            </w:r>
          </w:p>
          <w:p>
            <w:pPr>
              <w:numPr>
                <w:ilvl w:val="0"/>
                <w:numId w:val="1"/>
              </w:numPr>
              <w:spacing w:line="280" w:lineRule="exact"/>
              <w:ind w:firstLine="421"/>
              <w:rPr>
                <w:rFonts w:ascii="宋体" w:hAnsi="宋体" w:cs="宋体"/>
                <w:szCs w:val="21"/>
              </w:rPr>
            </w:pPr>
            <w:r>
              <w:rPr>
                <w:rFonts w:hint="eastAsia" w:ascii="宋体" w:hAnsi="宋体" w:cs="宋体"/>
                <w:szCs w:val="21"/>
              </w:rPr>
              <w:t>能源资源管控</w:t>
            </w:r>
          </w:p>
          <w:p>
            <w:pPr>
              <w:spacing w:line="280" w:lineRule="exact"/>
              <w:ind w:firstLine="420" w:firstLineChars="200"/>
              <w:rPr>
                <w:rFonts w:ascii="宋体" w:hAnsi="宋体" w:cs="宋体"/>
                <w:szCs w:val="21"/>
              </w:rPr>
            </w:pPr>
            <w:r>
              <w:rPr>
                <w:rFonts w:hint="eastAsia" w:ascii="宋体" w:hAnsi="宋体" w:cs="宋体"/>
                <w:szCs w:val="21"/>
              </w:rPr>
              <w:t>销售过程注意节水、节电、节油，人走关闭开关，现场采用节能灯，未发现有漏水和浪费电能的现象。</w:t>
            </w:r>
          </w:p>
          <w:p>
            <w:pPr>
              <w:spacing w:line="280" w:lineRule="exact"/>
              <w:ind w:firstLine="421"/>
              <w:rPr>
                <w:rFonts w:ascii="宋体" w:hAnsi="宋体" w:cs="宋体"/>
                <w:szCs w:val="21"/>
              </w:rPr>
            </w:pPr>
            <w:r>
              <w:rPr>
                <w:rFonts w:hint="eastAsia" w:ascii="宋体" w:hAnsi="宋体" w:cs="宋体"/>
                <w:szCs w:val="21"/>
              </w:rPr>
              <w:t>6、潜在火灾管控</w:t>
            </w:r>
          </w:p>
          <w:p>
            <w:pPr>
              <w:spacing w:line="280" w:lineRule="exact"/>
              <w:ind w:firstLine="421"/>
              <w:rPr>
                <w:rFonts w:ascii="宋体" w:hAnsi="宋体" w:cs="宋体"/>
                <w:szCs w:val="21"/>
              </w:rPr>
            </w:pPr>
            <w:r>
              <w:rPr>
                <w:rFonts w:hint="eastAsia" w:ascii="宋体" w:hAnsi="宋体" w:cs="宋体"/>
                <w:szCs w:val="21"/>
              </w:rPr>
              <w:t>公司办公室现场未发现有灭火器，也无消防安全检查相关记录，不符合要求。</w:t>
            </w:r>
          </w:p>
          <w:p>
            <w:pPr>
              <w:spacing w:line="280" w:lineRule="exact"/>
              <w:ind w:firstLine="421"/>
              <w:rPr>
                <w:rFonts w:ascii="宋体" w:hAnsi="宋体" w:cs="宋体"/>
                <w:szCs w:val="21"/>
              </w:rPr>
            </w:pPr>
            <w:r>
              <w:rPr>
                <w:rFonts w:hint="eastAsia" w:ascii="宋体" w:hAnsi="宋体" w:cs="宋体"/>
                <w:szCs w:val="21"/>
              </w:rPr>
              <w:t>7、安全防护</w:t>
            </w:r>
          </w:p>
          <w:p>
            <w:pPr>
              <w:spacing w:line="280" w:lineRule="exact"/>
              <w:ind w:firstLine="421"/>
              <w:rPr>
                <w:rFonts w:ascii="宋体" w:hAnsi="宋体" w:cs="宋体"/>
                <w:szCs w:val="21"/>
              </w:rPr>
            </w:pPr>
            <w:r>
              <w:rPr>
                <w:rFonts w:hint="eastAsia" w:ascii="宋体" w:hAnsi="宋体" w:cs="宋体"/>
                <w:szCs w:val="21"/>
              </w:rPr>
              <w:t>疫情期间进出公司人员进行温度登记，查看健康码，公司给员工发放口罩等劳保用品，不允许私拉乱扔，提醒物业公司及时进行电线电路的定期检查。公司办公室所在地为</w:t>
            </w:r>
            <w:r>
              <w:rPr>
                <w:rFonts w:ascii="宋体" w:hAnsi="宋体" w:cs="宋体"/>
                <w:szCs w:val="21"/>
              </w:rPr>
              <w:t>2</w:t>
            </w:r>
            <w:r>
              <w:rPr>
                <w:rFonts w:hint="eastAsia" w:ascii="宋体" w:hAnsi="宋体" w:cs="宋体"/>
                <w:szCs w:val="21"/>
              </w:rPr>
              <w:t>楼，窗户外部有防跌落栅栏等。</w:t>
            </w:r>
          </w:p>
          <w:p>
            <w:pPr>
              <w:spacing w:line="280" w:lineRule="exact"/>
              <w:ind w:firstLine="420" w:firstLineChars="200"/>
              <w:rPr>
                <w:b/>
                <w:szCs w:val="21"/>
              </w:rPr>
            </w:pPr>
            <w:r>
              <w:rPr>
                <w:rFonts w:hint="eastAsia" w:ascii="宋体" w:hAnsi="宋体" w:cs="宋体"/>
                <w:szCs w:val="21"/>
              </w:rPr>
              <w:t>8、为关键长期员工上社保。</w:t>
            </w:r>
          </w:p>
        </w:tc>
        <w:tc>
          <w:tcPr>
            <w:tcW w:w="1585" w:type="dxa"/>
          </w:tcPr>
          <w:p>
            <w:r>
              <w:rPr>
                <w:rFonts w:hint="eastAsia"/>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2122" w:type="dxa"/>
          </w:tcPr>
          <w:p>
            <w:pPr>
              <w:spacing w:line="280" w:lineRule="exact"/>
              <w:rPr>
                <w:b/>
                <w:szCs w:val="21"/>
              </w:rPr>
            </w:pPr>
            <w:r>
              <w:rPr>
                <w:rFonts w:hint="eastAsia" w:ascii="宋体" w:hAnsi="宋体" w:cs="宋体"/>
                <w:szCs w:val="21"/>
              </w:rPr>
              <w:t>应急响应和准备</w:t>
            </w:r>
          </w:p>
        </w:tc>
        <w:tc>
          <w:tcPr>
            <w:tcW w:w="998" w:type="dxa"/>
          </w:tcPr>
          <w:p>
            <w:pPr>
              <w:spacing w:line="280" w:lineRule="exact"/>
              <w:rPr>
                <w:szCs w:val="21"/>
              </w:rPr>
            </w:pPr>
            <w:r>
              <w:rPr>
                <w:rFonts w:hint="eastAsia"/>
                <w:szCs w:val="21"/>
              </w:rPr>
              <w:t>E</w:t>
            </w:r>
            <w:r>
              <w:rPr>
                <w:szCs w:val="21"/>
              </w:rPr>
              <w:t>O</w:t>
            </w:r>
            <w:r>
              <w:rPr>
                <w:rFonts w:hint="eastAsia"/>
                <w:szCs w:val="21"/>
              </w:rPr>
              <w:t>8.2</w:t>
            </w:r>
          </w:p>
        </w:tc>
        <w:tc>
          <w:tcPr>
            <w:tcW w:w="10004" w:type="dxa"/>
            <w:vAlign w:val="center"/>
          </w:tcPr>
          <w:p>
            <w:pPr>
              <w:pStyle w:val="12"/>
              <w:spacing w:line="280" w:lineRule="exact"/>
              <w:rPr>
                <w:rFonts w:hint="eastAsia" w:ascii="宋体" w:hAnsi="宋体"/>
                <w:sz w:val="21"/>
                <w:szCs w:val="21"/>
              </w:rPr>
            </w:pPr>
            <w:r>
              <w:rPr>
                <w:rFonts w:hint="eastAsia" w:ascii="宋体" w:hAnsi="宋体"/>
                <w:sz w:val="21"/>
                <w:szCs w:val="21"/>
              </w:rPr>
              <w:t>公司制定了《应急准备和响应管理程序》，基本符合要求。按程序文件规定对公司紧急情况进行了识别，编制了预案，公司编制的应急预案包括：特种设备应急预案、火灾、有毒气体中毒、中暑、触电等。</w:t>
            </w:r>
          </w:p>
          <w:p>
            <w:pPr>
              <w:spacing w:line="280" w:lineRule="exact"/>
              <w:ind w:firstLine="420" w:firstLineChars="200"/>
              <w:rPr>
                <w:rFonts w:ascii="宋体" w:hAnsi="宋体" w:cs="宋体"/>
                <w:szCs w:val="21"/>
              </w:rPr>
            </w:pPr>
            <w:r>
              <w:rPr>
                <w:rFonts w:hint="eastAsia" w:ascii="宋体" w:hAnsi="宋体"/>
                <w:szCs w:val="21"/>
              </w:rPr>
              <w:t>公司于2021.6.9上午进行了消防灭火演练，提供了演练记录，演练图片，结论为基本达到目的、要求继续加强安全教育和培训，提高安全意识。记录人为韩世海，并提供了消防安全知识培训；但演练报告未对预案进行评价，现场沟通。</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trPr>
        <w:tc>
          <w:tcPr>
            <w:tcW w:w="2122" w:type="dxa"/>
          </w:tcPr>
          <w:p>
            <w:pPr>
              <w:spacing w:line="280" w:lineRule="exact"/>
              <w:rPr>
                <w:rFonts w:ascii="宋体" w:hAnsi="宋体" w:cs="宋体"/>
                <w:color w:val="000000"/>
                <w:kern w:val="0"/>
                <w:szCs w:val="21"/>
              </w:rPr>
            </w:pPr>
            <w:r>
              <w:rPr>
                <w:rFonts w:hint="eastAsia" w:ascii="宋体" w:hAnsi="宋体" w:cs="宋体"/>
                <w:color w:val="000000"/>
                <w:kern w:val="0"/>
                <w:szCs w:val="21"/>
              </w:rPr>
              <w:t>沟通</w:t>
            </w:r>
          </w:p>
          <w:p>
            <w:pPr>
              <w:spacing w:line="280" w:lineRule="exact"/>
              <w:rPr>
                <w:rFonts w:ascii="宋体" w:hAnsi="宋体" w:cs="宋体"/>
                <w:szCs w:val="21"/>
              </w:rPr>
            </w:pPr>
          </w:p>
        </w:tc>
        <w:tc>
          <w:tcPr>
            <w:tcW w:w="998" w:type="dxa"/>
          </w:tcPr>
          <w:p>
            <w:pPr>
              <w:spacing w:line="280" w:lineRule="exact"/>
              <w:rPr>
                <w:szCs w:val="21"/>
              </w:rPr>
            </w:pPr>
            <w:r>
              <w:rPr>
                <w:rFonts w:hint="eastAsia" w:ascii="宋体" w:hAnsi="宋体" w:cs="宋体"/>
                <w:color w:val="000000"/>
                <w:kern w:val="0"/>
                <w:szCs w:val="21"/>
              </w:rPr>
              <w:t>EO7.4</w:t>
            </w:r>
          </w:p>
        </w:tc>
        <w:tc>
          <w:tcPr>
            <w:tcW w:w="10004" w:type="dxa"/>
            <w:vAlign w:val="center"/>
          </w:tcPr>
          <w:p>
            <w:pPr>
              <w:spacing w:line="280" w:lineRule="exact"/>
              <w:ind w:firstLine="420" w:firstLineChars="200"/>
              <w:rPr>
                <w:szCs w:val="21"/>
              </w:rPr>
            </w:pPr>
            <w:r>
              <w:rPr>
                <w:rFonts w:hint="eastAsia"/>
                <w:szCs w:val="21"/>
              </w:rPr>
              <w:t>公司编制并实施了《内外部沟通、协商、交流及相关方管理程序》，规定了职责、工作流程，包括内部沟通和外部沟通的方法和要求。</w:t>
            </w:r>
          </w:p>
          <w:p>
            <w:pPr>
              <w:spacing w:line="280" w:lineRule="exact"/>
              <w:ind w:firstLine="420" w:firstLineChars="200"/>
              <w:rPr>
                <w:szCs w:val="21"/>
              </w:rPr>
            </w:pPr>
            <w:r>
              <w:rPr>
                <w:rFonts w:hint="eastAsia"/>
                <w:szCs w:val="21"/>
              </w:rPr>
              <w:t>公司确定了环境和职业健康安全管理体系相关的内部和外部沟通，包括：沟通什么；何时沟通；与谁沟通；如何沟通；由谁负责，内外部沟通具体体现在公司内部工作会议、环境和职业健康安全例会、员工的培训、公司宣传栏等，与外部的沟通具体体现在合同签订、满意度调查。与环保、安监部门及顾客和供方等方面。</w:t>
            </w:r>
          </w:p>
          <w:p>
            <w:pPr>
              <w:spacing w:line="280" w:lineRule="exact"/>
              <w:ind w:firstLine="420" w:firstLineChars="200"/>
              <w:rPr>
                <w:szCs w:val="21"/>
              </w:rPr>
            </w:pPr>
            <w:r>
              <w:rPr>
                <w:rFonts w:hint="eastAsia"/>
                <w:szCs w:val="21"/>
              </w:rPr>
              <w:t>现场查阅内部交流：方针、目标完成情况、内审和管理评审报告、不符合信息等。</w:t>
            </w:r>
          </w:p>
          <w:p>
            <w:pPr>
              <w:spacing w:line="280" w:lineRule="exact"/>
              <w:ind w:firstLine="420" w:firstLineChars="200"/>
              <w:rPr>
                <w:szCs w:val="21"/>
              </w:rPr>
            </w:pPr>
            <w:r>
              <w:rPr>
                <w:rFonts w:hint="eastAsia"/>
                <w:szCs w:val="21"/>
              </w:rPr>
              <w:t>外部交流：通过发放《关于对相关方要求的告知书》与相关方就相关环境、职业健康安全信息进行相互沟通。</w:t>
            </w:r>
          </w:p>
          <w:p>
            <w:pPr>
              <w:spacing w:line="280" w:lineRule="exact"/>
              <w:ind w:firstLine="420" w:firstLineChars="200"/>
              <w:rPr>
                <w:szCs w:val="21"/>
              </w:rPr>
            </w:pPr>
            <w:r>
              <w:rPr>
                <w:rFonts w:hint="eastAsia"/>
                <w:szCs w:val="21"/>
              </w:rPr>
              <w:t>和员工金**面谈，知道公司的管理者代表及职业健康安全事务代表。</w:t>
            </w:r>
          </w:p>
          <w:p>
            <w:pPr>
              <w:spacing w:line="280" w:lineRule="exact"/>
              <w:ind w:firstLine="420" w:firstLineChars="200"/>
              <w:rPr>
                <w:rFonts w:ascii="宋体" w:hAnsi="宋体" w:cs="宋体"/>
                <w:szCs w:val="21"/>
              </w:rPr>
            </w:pPr>
            <w:r>
              <w:rPr>
                <w:rFonts w:hint="eastAsia"/>
                <w:szCs w:val="21"/>
              </w:rPr>
              <w:t>审核周期内未发生因沟通不善造成的的问题。</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122" w:type="dxa"/>
          </w:tcPr>
          <w:p>
            <w:pPr>
              <w:spacing w:line="280" w:lineRule="exact"/>
              <w:rPr>
                <w:rFonts w:ascii="宋体" w:hAnsi="宋体" w:cs="宋体"/>
                <w:szCs w:val="21"/>
              </w:rPr>
            </w:pPr>
          </w:p>
        </w:tc>
        <w:tc>
          <w:tcPr>
            <w:tcW w:w="998" w:type="dxa"/>
          </w:tcPr>
          <w:p>
            <w:pPr>
              <w:spacing w:line="280" w:lineRule="exact"/>
              <w:rPr>
                <w:rFonts w:ascii="宋体" w:hAnsi="宋体" w:cs="宋体"/>
                <w:szCs w:val="21"/>
              </w:rPr>
            </w:pPr>
          </w:p>
        </w:tc>
        <w:tc>
          <w:tcPr>
            <w:tcW w:w="10004" w:type="dxa"/>
            <w:vAlign w:val="center"/>
          </w:tcPr>
          <w:p>
            <w:pPr>
              <w:snapToGrid w:val="0"/>
              <w:spacing w:line="280" w:lineRule="exact"/>
              <w:ind w:firstLine="420" w:firstLineChars="200"/>
              <w:jc w:val="left"/>
              <w:rPr>
                <w:szCs w:val="21"/>
              </w:rPr>
            </w:pPr>
          </w:p>
        </w:tc>
        <w:tc>
          <w:tcPr>
            <w:tcW w:w="1585" w:type="dxa"/>
          </w:tcPr>
          <w:p/>
        </w:tc>
      </w:tr>
    </w:tbl>
    <w:p>
      <w:r>
        <w:ptab w:relativeTo="margin" w:alignment="center" w:leader="none"/>
      </w:r>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38A8C"/>
    <w:multiLevelType w:val="singleLevel"/>
    <w:tmpl w:val="33638A8C"/>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11ABE"/>
    <w:rsid w:val="00076C21"/>
    <w:rsid w:val="00077C88"/>
    <w:rsid w:val="00082B6C"/>
    <w:rsid w:val="000A75BA"/>
    <w:rsid w:val="000B0CD5"/>
    <w:rsid w:val="000B6409"/>
    <w:rsid w:val="000D5A6E"/>
    <w:rsid w:val="000F14E3"/>
    <w:rsid w:val="00115E0C"/>
    <w:rsid w:val="00121BF2"/>
    <w:rsid w:val="001311B9"/>
    <w:rsid w:val="00133E72"/>
    <w:rsid w:val="00140940"/>
    <w:rsid w:val="00140A69"/>
    <w:rsid w:val="001416E7"/>
    <w:rsid w:val="00147013"/>
    <w:rsid w:val="0016036E"/>
    <w:rsid w:val="001675EF"/>
    <w:rsid w:val="001937C7"/>
    <w:rsid w:val="001945D7"/>
    <w:rsid w:val="001A05B6"/>
    <w:rsid w:val="001A3B63"/>
    <w:rsid w:val="001C57A3"/>
    <w:rsid w:val="001F0E7B"/>
    <w:rsid w:val="00201F8B"/>
    <w:rsid w:val="00234300"/>
    <w:rsid w:val="002533F4"/>
    <w:rsid w:val="00260C08"/>
    <w:rsid w:val="00284E03"/>
    <w:rsid w:val="00287457"/>
    <w:rsid w:val="002910B9"/>
    <w:rsid w:val="002B0764"/>
    <w:rsid w:val="002B36EC"/>
    <w:rsid w:val="002C05A5"/>
    <w:rsid w:val="002C22A6"/>
    <w:rsid w:val="002E29A0"/>
    <w:rsid w:val="002E3BA3"/>
    <w:rsid w:val="002E55EA"/>
    <w:rsid w:val="002F05BD"/>
    <w:rsid w:val="003015FB"/>
    <w:rsid w:val="003273C2"/>
    <w:rsid w:val="00332E55"/>
    <w:rsid w:val="003445A0"/>
    <w:rsid w:val="00371804"/>
    <w:rsid w:val="00382525"/>
    <w:rsid w:val="00384FEF"/>
    <w:rsid w:val="00397D3F"/>
    <w:rsid w:val="003C254E"/>
    <w:rsid w:val="003E434A"/>
    <w:rsid w:val="00406DDC"/>
    <w:rsid w:val="0042030E"/>
    <w:rsid w:val="0043712F"/>
    <w:rsid w:val="004450A7"/>
    <w:rsid w:val="0047490C"/>
    <w:rsid w:val="00475C70"/>
    <w:rsid w:val="004819AB"/>
    <w:rsid w:val="004A1CD5"/>
    <w:rsid w:val="004B20B2"/>
    <w:rsid w:val="004D14C1"/>
    <w:rsid w:val="004D6FC5"/>
    <w:rsid w:val="004E6448"/>
    <w:rsid w:val="004E7665"/>
    <w:rsid w:val="004F4E79"/>
    <w:rsid w:val="00503F34"/>
    <w:rsid w:val="005074C4"/>
    <w:rsid w:val="00507E17"/>
    <w:rsid w:val="00516205"/>
    <w:rsid w:val="00532DE5"/>
    <w:rsid w:val="00551E35"/>
    <w:rsid w:val="0056074B"/>
    <w:rsid w:val="00567182"/>
    <w:rsid w:val="005A2330"/>
    <w:rsid w:val="005A23B2"/>
    <w:rsid w:val="005B6C34"/>
    <w:rsid w:val="005D00CB"/>
    <w:rsid w:val="005D2531"/>
    <w:rsid w:val="005D3055"/>
    <w:rsid w:val="00601AE0"/>
    <w:rsid w:val="00621EA2"/>
    <w:rsid w:val="006256EF"/>
    <w:rsid w:val="00626B05"/>
    <w:rsid w:val="00646303"/>
    <w:rsid w:val="0066353B"/>
    <w:rsid w:val="00672093"/>
    <w:rsid w:val="00672CC5"/>
    <w:rsid w:val="00680222"/>
    <w:rsid w:val="006842EC"/>
    <w:rsid w:val="006C283F"/>
    <w:rsid w:val="006E4E1C"/>
    <w:rsid w:val="006F2650"/>
    <w:rsid w:val="006F2C8A"/>
    <w:rsid w:val="00715292"/>
    <w:rsid w:val="007469D5"/>
    <w:rsid w:val="0075560B"/>
    <w:rsid w:val="00756C63"/>
    <w:rsid w:val="00761387"/>
    <w:rsid w:val="00774749"/>
    <w:rsid w:val="007861D2"/>
    <w:rsid w:val="007B4E33"/>
    <w:rsid w:val="007C5A7D"/>
    <w:rsid w:val="007C6A31"/>
    <w:rsid w:val="007E6050"/>
    <w:rsid w:val="00814B16"/>
    <w:rsid w:val="008242EA"/>
    <w:rsid w:val="008265A8"/>
    <w:rsid w:val="008265BB"/>
    <w:rsid w:val="008321B5"/>
    <w:rsid w:val="00834CE8"/>
    <w:rsid w:val="0085042B"/>
    <w:rsid w:val="008631F9"/>
    <w:rsid w:val="00893B23"/>
    <w:rsid w:val="008A1509"/>
    <w:rsid w:val="008B3B2F"/>
    <w:rsid w:val="008C01A2"/>
    <w:rsid w:val="008D2E87"/>
    <w:rsid w:val="008D3475"/>
    <w:rsid w:val="00902A7F"/>
    <w:rsid w:val="0092791F"/>
    <w:rsid w:val="00954B0E"/>
    <w:rsid w:val="00954D65"/>
    <w:rsid w:val="00955C0E"/>
    <w:rsid w:val="00976860"/>
    <w:rsid w:val="00991AEB"/>
    <w:rsid w:val="009977CF"/>
    <w:rsid w:val="009B1072"/>
    <w:rsid w:val="009E030A"/>
    <w:rsid w:val="00A01526"/>
    <w:rsid w:val="00A16279"/>
    <w:rsid w:val="00A30F85"/>
    <w:rsid w:val="00A52229"/>
    <w:rsid w:val="00A76F84"/>
    <w:rsid w:val="00A86196"/>
    <w:rsid w:val="00A94706"/>
    <w:rsid w:val="00AE6698"/>
    <w:rsid w:val="00B007F3"/>
    <w:rsid w:val="00B119B7"/>
    <w:rsid w:val="00B361C1"/>
    <w:rsid w:val="00B53061"/>
    <w:rsid w:val="00B531A8"/>
    <w:rsid w:val="00B53B05"/>
    <w:rsid w:val="00B6507C"/>
    <w:rsid w:val="00B76E90"/>
    <w:rsid w:val="00BB361C"/>
    <w:rsid w:val="00BD6986"/>
    <w:rsid w:val="00BF3DF0"/>
    <w:rsid w:val="00C277AC"/>
    <w:rsid w:val="00C41F32"/>
    <w:rsid w:val="00C4272D"/>
    <w:rsid w:val="00C44388"/>
    <w:rsid w:val="00C55A7B"/>
    <w:rsid w:val="00C60EB8"/>
    <w:rsid w:val="00C827AA"/>
    <w:rsid w:val="00C856E9"/>
    <w:rsid w:val="00C94573"/>
    <w:rsid w:val="00CA1BE3"/>
    <w:rsid w:val="00CD1E5C"/>
    <w:rsid w:val="00CD4ED7"/>
    <w:rsid w:val="00CD58BC"/>
    <w:rsid w:val="00D05DB2"/>
    <w:rsid w:val="00D50DC2"/>
    <w:rsid w:val="00D6037A"/>
    <w:rsid w:val="00D77118"/>
    <w:rsid w:val="00D937E0"/>
    <w:rsid w:val="00DA100D"/>
    <w:rsid w:val="00DE1A2C"/>
    <w:rsid w:val="00DE2FCE"/>
    <w:rsid w:val="00DE30E6"/>
    <w:rsid w:val="00DE367C"/>
    <w:rsid w:val="00DF19AB"/>
    <w:rsid w:val="00E0114F"/>
    <w:rsid w:val="00E11BD3"/>
    <w:rsid w:val="00E17655"/>
    <w:rsid w:val="00E219A3"/>
    <w:rsid w:val="00E41911"/>
    <w:rsid w:val="00E556FE"/>
    <w:rsid w:val="00E86DE3"/>
    <w:rsid w:val="00E944DC"/>
    <w:rsid w:val="00E97654"/>
    <w:rsid w:val="00EA2EA2"/>
    <w:rsid w:val="00EB1A5C"/>
    <w:rsid w:val="00EB6AAC"/>
    <w:rsid w:val="00ED41DC"/>
    <w:rsid w:val="00EE1FA2"/>
    <w:rsid w:val="00EE24F4"/>
    <w:rsid w:val="00F01F3E"/>
    <w:rsid w:val="00F05246"/>
    <w:rsid w:val="00F11424"/>
    <w:rsid w:val="00F13731"/>
    <w:rsid w:val="00F43CC1"/>
    <w:rsid w:val="00F47194"/>
    <w:rsid w:val="00F5455B"/>
    <w:rsid w:val="00F62C59"/>
    <w:rsid w:val="00FB5026"/>
    <w:rsid w:val="00FB6FAA"/>
    <w:rsid w:val="00FF0A51"/>
    <w:rsid w:val="00FF1D21"/>
    <w:rsid w:val="0A755CD1"/>
    <w:rsid w:val="11B844E6"/>
    <w:rsid w:val="4DED56EF"/>
    <w:rsid w:val="52D301A7"/>
    <w:rsid w:val="747D06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w:basedOn w:val="1"/>
    <w:qFormat/>
    <w:uiPriority w:val="0"/>
    <w:rPr>
      <w:rFonts w:ascii="仿宋_GB2312" w:eastAsia="仿宋_GB2312"/>
      <w:b/>
      <w:sz w:val="32"/>
      <w:szCs w:val="32"/>
    </w:rPr>
  </w:style>
  <w:style w:type="paragraph" w:customStyle="1" w:styleId="12">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994</Words>
  <Characters>5669</Characters>
  <Lines>47</Lines>
  <Paragraphs>13</Paragraphs>
  <TotalTime>72</TotalTime>
  <ScaleCrop>false</ScaleCrop>
  <LinksUpToDate>false</LinksUpToDate>
  <CharactersWithSpaces>6650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2021-08-20T06:33:00Z</dcterms:created>
  <dc:creator>微软用户</dc:creator>
  <cp:lastModifiedBy>森林</cp:lastModifiedBy>
  <dcterms:modified xsi:type="dcterms:W3CDTF">2021-08-24T09:17:23Z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33C7624B157C44E4A95AD92717DB5537</vt:lpwstr>
  </property>
</Properties>
</file>