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876290" cy="8804275"/>
            <wp:effectExtent l="0" t="0" r="6350" b="4445"/>
            <wp:docPr id="5" name="图片 5" descr="扫描全能王 2021-09-06 09.48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9-06 09.48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88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716905" cy="8796655"/>
            <wp:effectExtent l="0" t="0" r="13335" b="12065"/>
            <wp:docPr id="4" name="图片 4" descr="扫描全能王 2021-09-06 09.48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9-06 09.48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75350" cy="8797925"/>
            <wp:effectExtent l="0" t="0" r="13970" b="10795"/>
            <wp:docPr id="3" name="图片 3" descr="扫描全能王 2021-09-06 09.48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9-06 09.48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879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9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831205" cy="8785860"/>
            <wp:effectExtent l="0" t="0" r="5715" b="7620"/>
            <wp:docPr id="2" name="图片 2" descr="扫描全能王 2021-09-06 09.48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06 09.48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9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452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河北友楂食品有限公司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承德鹰手营子矿区北马圈子镇金扇子112线国道东侧食品园区2号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承德鹰手营子矿区北马圈子镇金扇子112线国道东侧食品园区2号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0784-2021-Q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张占平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19931057555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168577760@qq.com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张占平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资质范围内蜜饯的生产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03.08.02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2021年09月04日 上午至2021年09月04日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刘红杰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2021-N1QMS-1281767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邱玉峰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河北省防伪行业协会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03.08.02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13722860108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15801270410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2021.9.4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2021.9.4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合同基本信息确认: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确定审核范围的合理性（地址、产品/服务）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确定多现场和临时现场的地址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确定有效的员工人数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生产、服务的班次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2021.9.4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了解企业基本情况：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组织环境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主要的相关方和期望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风险的识别和评价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组织机构的设置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外部提供过程、产品和服务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被主管部门处罚和曝光情况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2021.9.4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文件化体系策划情况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- 管理手册；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- 文件化的程序；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- 作业文件；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- 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362"/>
              </w:tabs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2021.9.4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各管理体系的运行情况：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管理方针制定与贯彻情况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管理目标及完成统计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员工对相关标准的认知和能力（贯标培训、应知应会、持证上岗等）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相关方/客户的反馈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内审的策划和实施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管理体系的评审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对多场所/临时场所建立的控制的水平（适用时）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2021.9.4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QMS运行情况：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确认不适用条款及合理的理由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了解质量关键控制点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了解关键过程和需要确认的过程及控制情况；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了解产品执行的标准或技术要求；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查看型式检验的证据（报告）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了解顾客投诉处理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了解顾客满意度的情况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2021.9.4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11:00-11:40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QMS场所巡查: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巡视生产区域（厂区、车间、库房、实验室等）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确认生产/服务流程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观察基础设施（生产设备）运行完好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观察质量相关的监视和测量设备的种类并了解检定/校准情况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观察使用特种设备的种类并了解定期检测和备案登记情况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2021.9.4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11:40-12:00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AB</w:t>
            </w:r>
          </w:p>
        </w:tc>
      </w:tr>
    </w:tbl>
    <w:p>
      <w:pPr>
        <w:snapToGrid w:val="0"/>
        <w:spacing w:line="280" w:lineRule="exact"/>
        <w:jc w:val="left"/>
        <w:rPr>
          <w:rFonts w:hint="eastAsia"/>
          <w:b/>
          <w:sz w:val="20"/>
          <w:szCs w:val="22"/>
        </w:rPr>
      </w:pPr>
      <w:r>
        <w:rPr>
          <w:rFonts w:hint="eastAsia"/>
          <w:b/>
          <w:sz w:val="20"/>
          <w:szCs w:val="22"/>
        </w:rPr>
        <w:t>注：根据项目涉及的体系选择上述内容；可将无关的体系内容删除！</w:t>
      </w:r>
    </w:p>
    <w:p>
      <w:pPr>
        <w:snapToGrid w:val="0"/>
        <w:spacing w:line="280" w:lineRule="exact"/>
        <w:jc w:val="left"/>
        <w:rPr>
          <w:rFonts w:hint="eastAsia"/>
          <w:b/>
          <w:sz w:val="20"/>
          <w:szCs w:val="22"/>
        </w:rPr>
      </w:pPr>
      <w:r>
        <w:rPr>
          <w:rFonts w:hint="eastAsia"/>
          <w:b/>
          <w:sz w:val="20"/>
          <w:szCs w:val="22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226D2"/>
    <w:rsid w:val="0E07522A"/>
    <w:rsid w:val="12233379"/>
    <w:rsid w:val="20A47F0A"/>
    <w:rsid w:val="34AD774E"/>
    <w:rsid w:val="5AA65696"/>
    <w:rsid w:val="5B7305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大漠孤烟</cp:lastModifiedBy>
  <cp:lastPrinted>2019-03-27T03:10:00Z</cp:lastPrinted>
  <dcterms:modified xsi:type="dcterms:W3CDTF">2021-09-06T02:03:06Z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2052-11.1.0.9995</vt:lpwstr>
  </property>
</Properties>
</file>