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53"/>
        <w:gridCol w:w="977"/>
        <w:gridCol w:w="1684"/>
        <w:gridCol w:w="86"/>
        <w:gridCol w:w="753"/>
        <w:gridCol w:w="1185"/>
        <w:gridCol w:w="762"/>
        <w:gridCol w:w="256"/>
        <w:gridCol w:w="674"/>
        <w:gridCol w:w="47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四川方鑫达测绘有限公司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四川省成都市成华区府青路二段25号1栋11楼1101号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四川省成都市成华区驷马桥路宝源驷马城1栋303室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刘富文</w:t>
            </w:r>
            <w:bookmarkEnd w:id="3"/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13981932899</w:t>
            </w:r>
            <w:bookmarkEnd w:id="4"/>
          </w:p>
        </w:tc>
        <w:tc>
          <w:tcPr>
            <w:tcW w:w="6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3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6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0839-2021-QEO</w:t>
            </w:r>
            <w:bookmarkEnd w:id="8"/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26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Q：测绘服务(工程测量、不动产测绘、地理信息系统工程、摄影测量与遥感)；林业专业及辅助性活动；信息系统集成服务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E：测绘服务(工程测量、不动产测绘、地理信息系统工程、摄影测量与遥感)；林业专业及辅助性活动；信息系统集成服务所涉及场所的相关环境管理活动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O：测绘服务(工程测量、不动产测绘、地理信息系统工程、摄影测量与遥感)；林业专业及辅助性活动；信息系统集成服务所涉及场所的相关职业健康安全管理活动</w:t>
            </w:r>
            <w:bookmarkEnd w:id="21"/>
          </w:p>
        </w:tc>
        <w:tc>
          <w:tcPr>
            <w:tcW w:w="6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Q：33.02.02;34.01.02;34.06.00;35.07.00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E：33.02.02;34.01.02;34.06.00;35.07.00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O：33.02.02;34.01.02;34.06.00;35.07.00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2021年08月12日 上午至2021年08月13日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Q:33.02.02,34.01.02,34.06.00,35.07.00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E:33.02.02,34.01.02,34.06.00,35.07.00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O:33.02.02,34.01.02,34.06.00,35.07.00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2021-N0OHSMS-1262293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2021-N0OHSMS-1247783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E:33.02.02,34.01.02,34.06.00,35.07.00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5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4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0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/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0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/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20955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2021.8.10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2021.8.10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2021.8.10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6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8月12日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9:30-18:30（午餐时间12：00-13：00）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到临时场所时间：16：00-17：00，回公司：18：30-19：30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QMS-2015：陈伟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：文平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范围的确认、资质的确认、法律法规执行情况、质量抽查及顾客投诉情况。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5.3岗位/职责/权限；6.2质量目标及其实现的策划；7.4信息和沟通；8.6产品和服务放行；8.7不合格输出控制；10.2不符合和纠正措施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574" w:type="dxa"/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项目部（含临时场所）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QMS-2015：文平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5.3岗位/职责/权限；6.2质量目标及其实现的策划；7.1.3基础设施；7.1.4过程环境；7.1.5监视和测量设备；7.4信息和沟通；8.1运行的策划和控制；8.3产品和服务的设计和开发；8.5产品生产和服务提供；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：宋明珠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2" w:name="_GoBack" w:colFirst="0" w:colLast="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8月13日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8：30-17：00（午餐时间12：00-13：00）</w:t>
            </w: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继续前一天的审核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宋明珠</w:t>
            </w: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继续前一天的审核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5.3岗位/职责/权限；6.2质量目标及其实现的策划；7.1.2人员；7.2能力；7.3意识；7.4沟通；7.5文件化信息；8.2产品和服务的要求；8.4外部提供供方的控制；9.1.2顾客满意；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7.2能力；7.3意识；7.4沟通；7.5文件化信息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7B9"/>
    <w:rsid w:val="00071BFC"/>
    <w:rsid w:val="00C92A69"/>
    <w:rsid w:val="00DD57B9"/>
    <w:rsid w:val="0E142C80"/>
    <w:rsid w:val="12F8329D"/>
    <w:rsid w:val="660940C2"/>
    <w:rsid w:val="71321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708</Words>
  <Characters>4038</Characters>
  <Lines>33</Lines>
  <Paragraphs>9</Paragraphs>
  <TotalTime>60</TotalTime>
  <ScaleCrop>false</ScaleCrop>
  <LinksUpToDate>false</LinksUpToDate>
  <CharactersWithSpaces>4737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2021-08-13T08:37:48Z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