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成都千钟粟农业科技有限公司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Q：29.07.09;29.14.01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E：29.07.09;29.14.01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O：29.07.09;29.14.01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Q/E/O:</w:t>
            </w:r>
            <w:r>
              <w:rPr>
                <w:b/>
                <w:sz w:val="20"/>
              </w:rPr>
              <w:t>29.07.09;29.14.01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spacing w:line="24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销售工艺流程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市场调研→签订协议→组织采购用户产品与验收→发货与交付→售后服务</w:t>
            </w:r>
          </w:p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关键/</w:t>
            </w:r>
            <w:r>
              <w:rPr>
                <w:rFonts w:hint="eastAsia" w:ascii="宋体" w:hAnsi="宋体"/>
                <w:sz w:val="21"/>
                <w:szCs w:val="21"/>
              </w:rPr>
              <w:t>确认过程：销售过程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，也是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销售过程，依据销售操作手册控制。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销售过程中业务外出时交通意外伤害风险；通过管理方案和预案进行控制。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火灾、触电、意外伤害，采取管理方案和应急处理方案控制。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green"/>
              </w:rPr>
            </w:pP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GB/T 1354-2018大米 、 GB 2716-2018 食品安全国家标准 植物油、 LS/T 3212-2014 挂面、 GB 2721-2015 食品安全国家标准食用盐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大米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val="en-US" w:eastAsia="zh-CN"/>
              </w:rPr>
              <w:t xml:space="preserve"> 不完善粒含量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气味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色泽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水分含量，碎米，杂质，有机砷等；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食用油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酸价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过氧化值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，水份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及挥物</w:t>
            </w:r>
            <w:r>
              <w:rPr>
                <w:rFonts w:hint="eastAsia" w:ascii="宋体" w:hAnsi="宋体"/>
                <w:sz w:val="21"/>
                <w:szCs w:val="21"/>
                <w:highlight w:val="gree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不溶性杂质等；</w:t>
            </w:r>
          </w:p>
          <w:p>
            <w:pPr>
              <w:pStyle w:val="2"/>
              <w:rPr>
                <w:b/>
                <w:sz w:val="20"/>
                <w:highlight w:val="green"/>
              </w:rPr>
            </w:pPr>
            <w:r>
              <w:rPr>
                <w:rFonts w:hint="eastAsia" w:ascii="宋体" w:hAnsi="宋体"/>
                <w:sz w:val="21"/>
                <w:szCs w:val="21"/>
                <w:highlight w:val="green"/>
                <w:lang w:eastAsia="zh-CN"/>
              </w:rPr>
              <w:t>挂面指标：感官（性状、气泽等）、净含量，水分，酸度，自然断条率等。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52070</wp:posOffset>
                  </wp:positionV>
                  <wp:extent cx="475615" cy="492760"/>
                  <wp:effectExtent l="0" t="0" r="12065" b="10160"/>
                  <wp:wrapNone/>
                  <wp:docPr id="8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2021.8.15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88265</wp:posOffset>
                  </wp:positionV>
                  <wp:extent cx="476885" cy="494030"/>
                  <wp:effectExtent l="0" t="0" r="10795" b="8890"/>
                  <wp:wrapNone/>
                  <wp:docPr id="9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2021.8.15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9A5F96"/>
    <w:rsid w:val="2D37572F"/>
    <w:rsid w:val="34940F6C"/>
    <w:rsid w:val="44C50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spacing w:before="100" w:beforeAutospacing="1" w:after="100" w:afterAutospacing="1" w:line="360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2021-08-26T06:24:55Z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