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</w:rPr>
              <w:t>质检部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</w:rPr>
              <w:t>孙同昂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2021年8月12号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6.2/7.1.5/8.6/8.7/9.1.3/10.2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a)依据有关标准、规范制定各专业技术资料的输出格式，使技术产品标准化、规格化、表格化，逐步提高产品质量。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b)负责对特殊过程的识别、预先能力确认和过程的监控；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c)负责采购过程中产品的标识及交付过程中的可追溯性标识；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d)负责采购过程的质量控制和现场服务过程的质量控制。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e)对公司使用的产品结果进行监督；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f)承担对产品质量进行有效监督和把关责任；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g)对公司所有产品质量负终身法律责任；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h)组织重大质量问题和重大事故的调查处理并上报总经理，组织和解决对产品的质量投诉、承担对产品的返修、维修和保修工作责任；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2"/>
              <w:gridCol w:w="2335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产品无漏检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统计漏捡次数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无漏检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计量器具完好率100%  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计量器具完好数/计量器具完好总数×100%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对原材料进行检验100%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每批次检验数量/到货数量×100%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《监视和测量器具台账》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外径千分尺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KSZS2190057D016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2022.4.21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KSZS2190057D008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2022.4.21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高度尺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KSZS2190057D015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2022.4.21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深度尺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KSZS2190057D011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2022.4.21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超声波探伤仪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215042953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2022.7.4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程控荧光磁粉探伤机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215042952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2022.7.4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执行标准（接收准则）：参照技术协议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《原材料验收记录》和供应商提供的《出厂检验报告》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1059"/>
              <w:gridCol w:w="2248"/>
              <w:gridCol w:w="1140"/>
              <w:gridCol w:w="19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进货数量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9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1.7.23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石蜡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13吨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58号半精炼，无板结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90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1.6.25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废钢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37.96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C≤0.3、SP≤0.03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90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2021.6.21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氧化胺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5吨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含量≥99.3%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904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904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过程监控详见Q8.5.1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生产过程中会对钢材质进行检测，依据客户要求对使用材料进行调整，添加一定量合金，确保材质符合要求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158615" cy="3119120"/>
                  <wp:effectExtent l="0" t="0" r="6985" b="5080"/>
                  <wp:docPr id="3" name="图片 3" descr="239dd1aa512f677bc4392975117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39dd1aa512f677bc439297511721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615" cy="31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2021.6.2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X1型传动臂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60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尺寸，成分，抗拉强度，屈服强度，伸率，断面收缩率等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2021.6.2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3#（013）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型传动臂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尺寸，成分，抗拉强度，屈服强度，伸率，断面收缩率等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》未发现不合格半成品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不合格品报告单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1178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17</w:t>
                  </w:r>
                </w:p>
              </w:tc>
              <w:tc>
                <w:tcPr>
                  <w:tcW w:w="117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小鞋子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产品浇口底部空洞，未冲型完整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报废品回炉重新熔炼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2</w:t>
                  </w:r>
                  <w:r>
                    <w:rPr>
                      <w:lang w:eastAsia="zh-CN"/>
                    </w:rP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26</w:t>
                  </w:r>
                </w:p>
              </w:tc>
              <w:tc>
                <w:tcPr>
                  <w:tcW w:w="11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齿条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产品抽检硬度不合格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产品重新热处理调质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2021.6.10</w:t>
                  </w:r>
                </w:p>
              </w:tc>
              <w:tc>
                <w:tcPr>
                  <w:tcW w:w="117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绳壳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产品内档目视鼓胀，无法打磨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报废品回炉重新熔炼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</w:tbl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701A14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B87BBA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6BC4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4352D0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7EA608E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2021-08-13T02:38:03Z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D3845D0514A340FD8A239A105654117C</vt:lpwstr>
  </property>
</Properties>
</file>