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color w:val="FF0000"/>
        </w:rPr>
        <w:ptab w:relativeTo="margin" w:alignment="center" w:leader="none"/>
      </w:r>
    </w:p>
    <w:p>
      <w:pPr>
        <w:spacing w:line="480" w:lineRule="exact"/>
        <w:jc w:val="center"/>
        <w:rPr>
          <w:rFonts w:ascii="隶书" w:hAnsi="宋体" w:eastAsia="隶书"/>
          <w:bCs/>
          <w:sz w:val="44"/>
          <w:szCs w:val="44"/>
        </w:rPr>
      </w:pPr>
      <w:r>
        <w:rPr>
          <w:rFonts w:hint="eastAsia" w:ascii="隶书" w:hAnsi="宋体" w:eastAsia="隶书"/>
          <w:bCs/>
          <w:sz w:val="44"/>
          <w:szCs w:val="4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程晓宇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  温红玲(O实习）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0"/>
                <w:lang w:val="de-DE" w:eastAsia="zh-CN"/>
              </w:rPr>
              <w:t>程晓雨</w:t>
            </w:r>
            <w:r>
              <w:rPr>
                <w:rFonts w:hint="eastAsia"/>
                <w:sz w:val="20"/>
                <w:lang w:val="en-US" w:eastAsia="zh-CN"/>
              </w:rPr>
              <w:t>提供专业支持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1-8-10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QMS: 5.3组织的岗位、职责和权限、6.2质量目标、7.1.2人员、7.1.6组织知识、7.2能力、7.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4沟通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、7.5.1形成文件的信息总则、7.5.2形成文件的信息的创建和更新、7.5.3形成文件的信息的控制</w:t>
            </w: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、8.2产品和服务的要求、8.4外部提供过程、产品和服务的控制、8.5.3顾客或外部供方的财产、8.5.5交付后的活动，9.1.2顾客满意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、9.2 内部审核、10.2不合格和纠正措施，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: 5.3组织的岗位、职责和权限、6.1.2环境因素/危险源的辨识与评价、6.1.3合规义务、6.1.4措施的策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7.2能力、7.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4沟通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、7.5.1形成文件的信息总则、7.5.2形成文件的信息的创建和更新、7.5.3形成文件的信息的控制、、8.1运行策划和控制、9.1监视、测量、分析和评价（9.1.1总则、9.1.2合规性评价）、8.2应急准备和响应,9.2 内部审核、10.2不合格和纠正措施，划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tabs>
                <w:tab w:val="left" w:pos="1115"/>
              </w:tabs>
              <w:spacing w:line="32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质量目标：</w:t>
            </w:r>
          </w:p>
          <w:p>
            <w:pPr>
              <w:numPr>
                <w:ilvl w:val="0"/>
                <w:numId w:val="1"/>
              </w:numPr>
              <w:tabs>
                <w:tab w:val="left" w:pos="1115"/>
              </w:tabs>
              <w:spacing w:line="32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工程一次性交验合格率≥95%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顾客满意度≥90%；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合同、招投标评审率100%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合格供方评审率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％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采购产品合格率达到100%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文件受控率100%</w:t>
            </w:r>
          </w:p>
          <w:p>
            <w:pPr>
              <w:numPr>
                <w:ilvl w:val="0"/>
                <w:numId w:val="2"/>
              </w:numPr>
              <w:tabs>
                <w:tab w:val="left" w:pos="1115"/>
              </w:tabs>
              <w:spacing w:line="320" w:lineRule="exact"/>
              <w:ind w:left="418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人员培训覆盖率100%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;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环境目标:</w:t>
            </w:r>
          </w:p>
          <w:p>
            <w:pPr>
              <w:spacing w:line="320" w:lineRule="exact"/>
              <w:ind w:left="235" w:leftChars="112" w:firstLine="240" w:firstLineChars="1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</w:t>
            </w:r>
            <w:r>
              <w:rPr>
                <w:rFonts w:hint="eastAsia"/>
              </w:rPr>
              <w:t>固体废弃物分类收集处置率100%；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left="235" w:leftChars="112" w:firstLine="240" w:firstLineChars="1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</w:t>
            </w:r>
            <w:r>
              <w:rPr>
                <w:rFonts w:hint="eastAsia"/>
                <w:szCs w:val="21"/>
              </w:rPr>
              <w:t>火灾事故发生率0；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职业健康安全目标：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</w:t>
            </w:r>
            <w:r>
              <w:rPr>
                <w:rFonts w:hint="eastAsia"/>
                <w:szCs w:val="21"/>
              </w:rPr>
              <w:t>交通意外事故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</w:t>
            </w:r>
            <w:r>
              <w:rPr>
                <w:rFonts w:hint="eastAsia"/>
                <w:szCs w:val="21"/>
              </w:rPr>
              <w:t>火灾事故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</w:t>
            </w:r>
            <w:r>
              <w:rPr>
                <w:rFonts w:hint="eastAsia"/>
              </w:rPr>
              <w:t>触电事故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</w:t>
            </w:r>
            <w:r>
              <w:rPr>
                <w:rFonts w:hint="eastAsia"/>
              </w:rPr>
              <w:t>人身伤害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5" w:firstLineChars="198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</w:t>
            </w:r>
            <w:r>
              <w:rPr>
                <w:rFonts w:hint="eastAsia"/>
                <w:lang w:eastAsia="zh-CN"/>
              </w:rPr>
              <w:t>高空坠落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0.</w:t>
            </w:r>
          </w:p>
          <w:p>
            <w:pPr>
              <w:pStyle w:val="2"/>
              <w:ind w:left="0" w:leftChars="0" w:firstLine="480" w:firstLineChars="200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/>
                <w:lang w:eastAsia="zh-CN"/>
              </w:rPr>
              <w:t>机械伤害</w:t>
            </w:r>
          </w:p>
          <w:p>
            <w:pPr>
              <w:spacing w:line="32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组织对公司质量、环境、职业健康安全目标、指标予以分解，并在相关职能层次部门建立分目标，</w:t>
            </w:r>
          </w:p>
          <w:p>
            <w:pPr>
              <w:spacing w:line="280" w:lineRule="exact"/>
              <w:ind w:firstLine="240" w:firstLineChars="100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</w:t>
            </w:r>
            <w:r>
              <w:rPr>
                <w:rFonts w:hint="eastAsia" w:ascii="华文楷体" w:hAnsi="华文楷体" w:eastAsia="华文楷体"/>
                <w:szCs w:val="21"/>
              </w:rPr>
              <w:t xml:space="preserve">QES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管理目标策划分解考核记录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《管理目标完成情况统计表》，考核人：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统计均完成。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人员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Q7.1.2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根据各部门的需要配备管理体系运行所需的人员，均经过相关培训，目前公司有员工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0人，各部门人员配备基本充分，基本符合要求。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组织的知识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Q7.1.6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 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  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能力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公司对各岗位能力规定的要求包括了专业技能、岗位资格、能力、工作经验等。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提供《主要任职岗位要求》主要对公司各部门负责人及员工能力要求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分别从年龄、教育程度、经验、经历、技能要求等方面进行了规定，定期进行评价，根据结果采取措施，通常是培训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年培训计划，内容包括管理体系标准、体系导入培训、环境因素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危险源识别、评价与控制、内审员培训、安全及火灾应急培训等。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抽查《培训记录》：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21-1-10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对GB/T19001-2016质量管理体系、GB/T24001-2016环境管理体系标准、GB/T45001-2020 / ISO45001：2018职业健康安全管理体系标准进行了培训。参加人员：各部门人员等。通过问答对理解情况进行考核，考核结果：全部通过 。记录人：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-4-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5对管理体系内部审核员知识进行培训，参加人：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，培训老师：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咨询老师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。通过问答对理解情况进行考核，考核结果：全部通过。记录人：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</w:t>
            </w:r>
            <w:r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-6-1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进行了法律法规培训，内容包括：法律法规知识等 。参加人：所有管理人员。通过问答对理解情况进行考核，考核结果：全部通过，记录人：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特殊工种：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倪良根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T340122197712288131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继电保护作业）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张明明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T340122198503233315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2024-11-8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李侠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T340122198911106278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董景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T340122198902086471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2025-10-25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孔令来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34012219781025293301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2025-5-15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高处作业</w:t>
                  </w:r>
                </w:p>
              </w:tc>
              <w:tc>
                <w:tcPr>
                  <w:tcW w:w="10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张明明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T340122198503233315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倪良根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皖建安A（2017）0112337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2023-7-28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王洋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皖建安C（2013）0177105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2022-11-14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万梦云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T340122199601066025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2025-11-17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张壮壮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34012219870830287101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2025-5-15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电焊工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李志军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皖N072021156311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2027-3-9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沟通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QEO7.4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公司编制并实施了《信息交流和协商沟通管理程序》，规定了职责、工作流程，包括内部沟通和外部沟通的方法和要求。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确定了质量、环境、职业健康安全管理体系相关的内部和外部沟通，包括：沟通什么；何时沟通；与谁沟通；如何沟通；由谁负责，内外部沟通具体体现在公司内部工作会议、质量、环境、职业健康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外部交流：通过发放《关于对相关方要求的告知书》与相关方就相关环境、职业健康安全信息进行相互沟通。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和员工刘某面谈，知道公司的管理者代表及职业健康安全事务代表履行了相应的职责。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成文信息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QEO7.5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公司文件分类：一级文件：管理手册。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二级文件：公司编制了程序文件，包括质量、环境、职业健康安全标准要求的所有程序。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公司编制并实施了《文件管理程序》，文件包括：手册、三体系的程序文件、作业指导书、废弃物管理制度、安全教育管理制度等。</w:t>
            </w:r>
          </w:p>
          <w:p>
            <w:pPr>
              <w:snapToGrid w:val="0"/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无企业标准。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查管理手册、程序文件等文件，编制：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等，批准：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倪良根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2021年1月5日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，查文件编审批手续齐全、文件清晰、编号符合文件控制程序要求。查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文件，都有受控标识，有效版本。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《中华人民共和国产品质量法》、《中华人民共和国合同法》、《中华人民共和国公司法》、《中华人民共和国环境保护法》、《中华人民共和国安全生产法》、《中华人民共和国反不正当竞争法》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电气装置安装工程电缆线路施工及验收规范GB 50168-92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查文件发放：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资料室2021年1月5日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下发了质量、环境、职业健康安全管理手册、程序文件等文件。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公司编制并实施了《记录管理程序》对管理体系记录的标识、贮存、保护、检索、保存期限和处置等作了明确规定，符合要求。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提供《记录清单》，有内审报告、供方评价表、危险源清单、环境因素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抽查归档文件整理情况，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作废文件：根据文审要求修订了管理手册，替换了修改页，作废页已销毁。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公司文件记录控制基本有效。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公司通过走访、电话、邮件等方式与顾客交流，主要进行以下沟通：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1、在工程交付中向顾客提供保证施工质量的有关信息。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2、接受顾客问询、询价、合同的处理。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3、根据合同要求进行有关的事宜，对顾客的投诉或意见进行及时处理和答复。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到目前为止，近一年未发生顾客不满意及投诉现象。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查公司产品工程合同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—合同编号：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合同编号：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31U150009512020000047-CC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签订日期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2020-11-23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客户名称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合肥庐源电力工程肥西分公司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工程名称：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蒋口河联圩蓄洪圩口排水配电工程（拆除）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工程内容：详见销售合同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技术要求：按照国家、行业标准和合同要求进行安装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合同写明了双方的责任和要求及义务。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—合同编号：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31U150009512020000075-AZ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签订日期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2020-11-20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客户名称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合肥庐源电力工程肥西分公司</w:t>
            </w:r>
          </w:p>
          <w:p>
            <w:pPr>
              <w:spacing w:line="280" w:lineRule="exact"/>
              <w:ind w:firstLine="48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工程名称：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三河镇湖光村供电线路绝缘化改造工程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工程内容、工程量：详见销售合同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技术要求：按照国家、行业标准和合同要求进行施工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合同写明了双方的责任和要求及义务。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 。。。。。。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查上述合同的评审记录，提供《合同评审表》</w:t>
            </w:r>
          </w:p>
          <w:tbl>
            <w:tblPr>
              <w:tblStyle w:val="8"/>
              <w:tblW w:w="9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1380"/>
              <w:gridCol w:w="1884"/>
              <w:gridCol w:w="1550"/>
              <w:gridCol w:w="1580"/>
              <w:gridCol w:w="650"/>
              <w:gridCol w:w="14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合同编号</w:t>
                  </w:r>
                </w:p>
              </w:tc>
              <w:tc>
                <w:tcPr>
                  <w:tcW w:w="18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名称</w:t>
                  </w:r>
                </w:p>
              </w:tc>
              <w:tc>
                <w:tcPr>
                  <w:tcW w:w="158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规格型号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数量</w:t>
                  </w:r>
                </w:p>
              </w:tc>
              <w:tc>
                <w:tcPr>
                  <w:tcW w:w="1470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2020-11-23</w:t>
                  </w:r>
                </w:p>
              </w:tc>
              <w:tc>
                <w:tcPr>
                  <w:tcW w:w="138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31U150009512020000047-CC</w:t>
                  </w:r>
                </w:p>
              </w:tc>
              <w:tc>
                <w:tcPr>
                  <w:tcW w:w="1884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合肥庐源电力工程肥西分公司</w:t>
                  </w:r>
                </w:p>
              </w:tc>
              <w:tc>
                <w:tcPr>
                  <w:tcW w:w="155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蒋口河联圩蓄洪圩口排水配电工程（拆除）</w:t>
                  </w:r>
                </w:p>
              </w:tc>
              <w:tc>
                <w:tcPr>
                  <w:tcW w:w="158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排水配电工程（拆除）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70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2020-12-5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2020-11-20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31U150009512020000075-AZ</w:t>
                  </w:r>
                </w:p>
              </w:tc>
              <w:tc>
                <w:tcPr>
                  <w:tcW w:w="18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合肥庐源电力工程肥西分公司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三河镇湖光村供电线路绝缘化改造工程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供电线路绝缘化改造工程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70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2020-12-21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评审内容包括交工期限、价格、质量要求、交付要求、不可抗力、法规要求 6项。评审结果：全部通过。公司目前暂无合同更改情况。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编制了《合格供方评价管理》，对供方进行评价，内容包括：产品质量、交货期、价格及售后服务等内容。经总经理确认后，纳入公司合格供方。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现场提供有《合格供方目录》，由总经理批准。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合格供方名称                         供应产品名称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合肥希尔凯电器有限公司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高低压成套设备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江苏上上电缆集团有限公司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电缆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远东电缆有限公司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电缆</w:t>
            </w:r>
          </w:p>
          <w:p>
            <w:pPr>
              <w:bidi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环宇集团（南京）有限公司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高低压成套设备、干式变压器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安徽广远智能电力装备制造有限公司    变压器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查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年1月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日对供方的</w:t>
            </w:r>
            <w:r>
              <w:rPr>
                <w:rFonts w:hint="eastAsia"/>
                <w:lang w:val="en-US" w:eastAsia="zh-CN"/>
              </w:rPr>
              <w:t>2020年度</w:t>
            </w:r>
            <w:r>
              <w:rPr>
                <w:rFonts w:hint="eastAsia"/>
              </w:rPr>
              <w:t>调查及评价。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针对合格供方合肥希尔凯电器有限公司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的评价：评价内容：企业资质、供货能力、产品质量、交货期、价格、售后服务等；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符合相关规定，</w:t>
            </w:r>
            <w:r>
              <w:rPr>
                <w:rFonts w:hint="eastAsia"/>
                <w:lang w:val="en-US" w:eastAsia="zh-CN"/>
              </w:rPr>
              <w:t>继续</w:t>
            </w:r>
            <w:r>
              <w:rPr>
                <w:rFonts w:hint="eastAsia"/>
              </w:rPr>
              <w:t>纳入合格供方。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val="en-US" w:eastAsia="zh-CN"/>
              </w:rPr>
              <w:t>资料室</w:t>
            </w:r>
            <w:r>
              <w:rPr>
                <w:rFonts w:hint="eastAsia"/>
              </w:rPr>
              <w:t>负责，通过签订书面采购订单方式向合格供方进行产品采购。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</w:rPr>
              <w:t>抽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7月</w:t>
            </w:r>
            <w:r>
              <w:rPr>
                <w:rFonts w:hint="eastAsia"/>
              </w:rPr>
              <w:t>采购订单，内容包括产品名称、规格、数量、价格、备货周期等，包括有</w:t>
            </w:r>
            <w:r>
              <w:rPr>
                <w:rFonts w:hint="eastAsia"/>
                <w:lang w:val="en-US" w:eastAsia="zh-CN"/>
              </w:rPr>
              <w:t>电缆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高压开关柜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变压器</w:t>
            </w: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Q8.5.3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Q8.5.5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依据GB/T19001-2016《质量管理体系-要求》标准条款9.1.2顾客满意度的要求，项目部对本公司直接客户发送了《顾客满意度调查表》，调查用户对我公司提供的产品及服务的满意程度，共发送《顾客满意度调查表》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份，收回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份有效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份，提供“顾客满意程度调查表”，调查主要内容：工程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质量、价格、工程期限、服务等方面的满意程度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顾客满意调查分析。最终顾客满意率9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%。日期：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年5月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内部审核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QEO9.2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由管理者代表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组织内部审核，一般每年进行一次内部审核，时间间隔不超过12个月，抽查最近一次的内部审核情况：</w:t>
            </w:r>
          </w:p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年度审核计划：提供《内部审核实施计划》，其内容已包括了审核目的、范围、准则、审核方法，</w:t>
            </w:r>
          </w:p>
          <w:p>
            <w:pPr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编制：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程晓雨</w:t>
            </w:r>
            <w:r>
              <w:rPr>
                <w:rFonts w:hint="eastAsia" w:ascii="楷体_GB2312" w:eastAsia="楷体_GB2312"/>
                <w:sz w:val="24"/>
              </w:rPr>
              <w:t xml:space="preserve">    审核：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倪良根</w:t>
            </w:r>
            <w:r>
              <w:rPr>
                <w:rFonts w:hint="eastAsia" w:ascii="楷体_GB2312" w:eastAsia="楷体_GB2312"/>
                <w:sz w:val="24"/>
              </w:rPr>
              <w:t xml:space="preserve">  日期：202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日，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审核依据：GB/T19001-2016、GB/T24001-2016、GB/T45001-2020 / ISO45001：2018的标准、体系文件、顾客要求、相关法律法规等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内部审核实施：组长：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A组：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张明明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B组：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程晓雨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，审核按计划进行，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名内审员经内部培训合格，能力尚可。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时间：</w:t>
            </w:r>
            <w:r>
              <w:rPr>
                <w:rFonts w:hint="eastAsia" w:ascii="楷体_GB2312" w:eastAsia="楷体_GB2312"/>
                <w:sz w:val="24"/>
              </w:rPr>
              <w:t xml:space="preserve"> 20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21</w:t>
            </w:r>
            <w:r>
              <w:rPr>
                <w:rFonts w:hint="eastAsia" w:ascii="楷体_GB2312" w:eastAsia="楷体_GB2312"/>
                <w:sz w:val="24"/>
              </w:rPr>
              <w:t xml:space="preserve"> 年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 xml:space="preserve">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15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提供了内部审核检查证据，其中包括对总经理/管理者代表、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、供销部等部门的审核记录，条款与策划结果相一致，记录较完整。</w:t>
            </w:r>
          </w:p>
          <w:p>
            <w:pPr>
              <w:spacing w:line="52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本次内审发现1个一般不符合项，涉及</w:t>
            </w:r>
            <w:r>
              <w:rPr>
                <w:rFonts w:hint="eastAsia" w:ascii="楷体_GB2312" w:hAnsi="宋体" w:eastAsia="楷体_GB2312"/>
                <w:sz w:val="24"/>
              </w:rPr>
              <w:t>查特殊过程记录，未见特殊过程确认记录。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不符合</w:t>
            </w:r>
            <w:r>
              <w:rPr>
                <w:rFonts w:hint="eastAsia" w:eastAsia="方正北魏楷书简体"/>
                <w:kern w:val="0"/>
                <w:sz w:val="24"/>
              </w:rPr>
              <w:t>GB/T24001-2016第7.5.3、GB/T19001-2016第7.5.3及ISO</w:t>
            </w:r>
            <w:r>
              <w:rPr>
                <w:rFonts w:hint="eastAsia" w:eastAsia="方正北魏楷书简体"/>
                <w:kern w:val="0"/>
                <w:sz w:val="24"/>
                <w:lang w:eastAsia="zh-CN"/>
              </w:rPr>
              <w:t>45001:2020</w:t>
            </w:r>
            <w:r>
              <w:rPr>
                <w:rFonts w:hint="eastAsia" w:eastAsia="方正北魏楷书简体"/>
                <w:kern w:val="0"/>
                <w:sz w:val="24"/>
              </w:rPr>
              <w:t>第7.5.3</w:t>
            </w:r>
            <w:r>
              <w:rPr>
                <w:rFonts w:hint="eastAsia" w:eastAsia="方正北魏楷书简体"/>
                <w:kern w:val="0"/>
                <w:sz w:val="24"/>
                <w:lang w:val="en-US" w:eastAsia="zh-CN"/>
              </w:rPr>
              <w:t>条款</w:t>
            </w:r>
            <w:r>
              <w:rPr>
                <w:rFonts w:hint="eastAsia" w:ascii="楷体_GB2312" w:hAnsi="宋体" w:eastAsia="楷体_GB2312"/>
                <w:sz w:val="24"/>
              </w:rPr>
              <w:t>规定。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；针对这个不合格，责任部门已分析了原因并采取了纠正措施，按要求进行了整改，最后内审员进行了验证，纠正措施实施有效。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公司内部审核基本有效。</w:t>
            </w:r>
          </w:p>
          <w:p>
            <w:pPr>
              <w:spacing w:line="28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280" w:lineRule="exact"/>
              <w:rPr>
                <w:rFonts w:ascii="楷体" w:hAnsi="楷体" w:eastAsia="楷体"/>
                <w:spacing w:val="-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  <w:szCs w:val="24"/>
              </w:rPr>
              <w:t>不合格和纠正措施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QEO10.2</w:t>
            </w: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EO6.1.2</w:t>
            </w:r>
          </w:p>
        </w:tc>
        <w:tc>
          <w:tcPr>
            <w:tcW w:w="10455" w:type="dxa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了《环境因素的识别、评价控制程序》、《危险源辨识、风险评价和控制措施确定控制程序》，对环境因素、危险源的识别、评价结果、控制手段等做出了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环境因素识别评价表》，对本部门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和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过程（固废、噪声排放、火灾、电能消耗、粉尘排放、噪声超标）、设备维修（废弃丢弃、漏油、更换新部件）等环境因素。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查到：《重要环境因素清单》，公司涉及重要环境因素：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电的消耗，固体废弃物的排放，用电不当导致火灾，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噪声的排放，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粉尘排放等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，本部门涉及的重要环境因素：均有涉及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查《危险源辨识及风险评价表》，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部门：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，识别了办公和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过程中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垃圾不理不及时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疾病传染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人离开未断电源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可能导致的火灾、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过程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违规操作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可能导致的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人身伤害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等危险源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查到：《不可接受风险清单》，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公司涉及重大危险源：潜在火灾、触电、人身伤害、机械伤害、职业病伤害，本部门涉及的不可接受风险：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均有涉及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综合办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环境因素、危险源的识别、评价基本符合标准要求。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EO6.1.3 </w:t>
            </w: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编制了《法律法规和其它要求获取、识别控制程序》，对法律法规的识别更新和应用进行规定。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为主控部门。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“法律法规清单”：如《中华人民共和国环境保护法》、《中华人民共和国环境影响评价法》、《中华人民共和国水污染防治法》、《中华人民共和国节约能源法（修订）》、《工伤保险条例》、《中华人民共和国职业病防治法》、《GB50140《建筑灭火配置设计规范》、《消防安全标志设置要求GB 15630-1995》、机关、团体、企业、事业单位消防安全管理规定的通知等。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应对风险和机遇措施的策划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制定了《合规性评价程序》、《监视、测量、分析和评价控制程序》，每年对公司适用的合规义务进行识别更新并定期评价、检查。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财务支出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EO8.1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   提供了环评报告，环评批复、环评验收报告，经查验公司已经过环评验收，见附件。</w:t>
            </w:r>
          </w:p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1、公司编制了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管理规定和程序文件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，规定了生产、销售过程安全、环境管理的要求。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2、企业无工业废水外排，主要是生活废水，生活废水经化粪池处理后收集由于厂区泼洒抑尘。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3、由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  <w:t>资料室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5、202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年1至6月份投入资金11.24万元，主要用于体检、劳保用品购置、消防设施更新、人员培训、水电、绿化、人员社保缴纳等。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6、未提供涉及职业病人员健康体检的相关证实。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7、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噪声、废气排放的管理控制具体见生产技术部审核记录。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巡视办公区：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查看各办公区域电脑，空调等办公设施齐全，用电规范，无临时线使用。办公区卫生保持较好，管理较好，无废水乱排现象。无浪费水电现象。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办公区域、配置了消防器材、粉灭火器，查看指针在绿区，有效。 办公车辆均经过年审，司机驾驶证在有效期内。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办公区域均有固废分类垃圾蒌，未发现乱存放废纸、废电池、硒鼓等情况。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EO8.2</w:t>
            </w:r>
          </w:p>
        </w:tc>
        <w:tc>
          <w:tcPr>
            <w:tcW w:w="10455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工程部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电力安装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过程中加强用电安全，防止触电事故和火灾事故的发生。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查看灭火器在有效期内。 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年4月15日参加了火灾预案演练，提供了相关记录。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  <w:t>查2021年4月25日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参加了触电专项应急救援预案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的演练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，提供了相关记录。</w:t>
            </w:r>
          </w:p>
          <w:p>
            <w:pPr>
              <w:pStyle w:val="2"/>
              <w:ind w:left="0" w:leftChars="0"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查2021年4月12日高空坠落专项应急预案演练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</w:tcPr>
          <w:p>
            <w:pPr>
              <w:snapToGrid w:val="0"/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EO9.1.2 </w:t>
            </w: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left="279" w:leftChars="133" w:right="281" w:rightChars="134" w:firstLine="240" w:firstLineChars="1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本公司识别了适用于本公司的质量、环境、职业健康安全的85个法律法规。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left="279" w:leftChars="133" w:right="281" w:rightChars="134" w:firstLine="240" w:firstLineChars="1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生产技术部加强设备管理，对设备进行良好的保养的检修，以执行《中华人民共和国环境噪音污染防治法》使噪音完全符合法律和标准要求。</w:t>
            </w: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6-1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的“合规性评价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”记录，倪良根、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程晓宇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、张明明、李侠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  <w:szCs w:val="24"/>
              </w:rPr>
              <w:t>对收集的法规进行了评价，抽3个法规评价情况如下：</w:t>
            </w:r>
          </w:p>
          <w:p>
            <w:pPr>
              <w:snapToGrid w:val="0"/>
              <w:spacing w:line="360" w:lineRule="auto"/>
              <w:ind w:right="392"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抽《中华人民共和国环境噪声污染防治法》，对应的环境因素：噪声排放；适用条款：第二、三、四章/环境保护；适用部门：公司各部门；评价结果：符合要求。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再抽《工伤保险条例》、《中华人民共和国节约能源法（修订）》的评价“合规性评价”记录，记录内容基本同上，未见不符合要求。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4"/>
          <w:szCs w:val="24"/>
        </w:rPr>
      </w:pPr>
      <w:r>
        <w:rPr>
          <w:rFonts w:ascii="楷体" w:hAnsi="楷体" w:eastAsia="楷体"/>
          <w:color w:val="FF0000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lvlText w:val="%1、"/>
      <w:lvlJc w:val="left"/>
      <w:pPr>
        <w:tabs>
          <w:tab w:val="left" w:pos="778"/>
        </w:tabs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8"/>
        </w:tabs>
        <w:ind w:left="125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8"/>
        </w:tabs>
        <w:ind w:left="16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8"/>
        </w:tabs>
        <w:ind w:left="25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8"/>
        </w:tabs>
        <w:ind w:left="293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8"/>
        </w:tabs>
        <w:ind w:left="33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8"/>
        </w:tabs>
        <w:ind w:left="37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8"/>
        </w:tabs>
        <w:ind w:left="4198" w:hanging="420"/>
      </w:pPr>
    </w:lvl>
  </w:abstractNum>
  <w:abstractNum w:abstractNumId="1">
    <w:nsid w:val="52A8F1B9"/>
    <w:multiLevelType w:val="singleLevel"/>
    <w:tmpl w:val="52A8F1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3CB"/>
    <w:rsid w:val="00020F5A"/>
    <w:rsid w:val="000237F6"/>
    <w:rsid w:val="000258CD"/>
    <w:rsid w:val="0003373A"/>
    <w:rsid w:val="0005083C"/>
    <w:rsid w:val="000515B6"/>
    <w:rsid w:val="00054136"/>
    <w:rsid w:val="00057B91"/>
    <w:rsid w:val="0006102E"/>
    <w:rsid w:val="000710E4"/>
    <w:rsid w:val="000A1CA7"/>
    <w:rsid w:val="00110343"/>
    <w:rsid w:val="0012572F"/>
    <w:rsid w:val="00153691"/>
    <w:rsid w:val="00171A84"/>
    <w:rsid w:val="00183AB3"/>
    <w:rsid w:val="001A2D7F"/>
    <w:rsid w:val="00202B7C"/>
    <w:rsid w:val="0021156B"/>
    <w:rsid w:val="00221A32"/>
    <w:rsid w:val="00232E13"/>
    <w:rsid w:val="00240E2A"/>
    <w:rsid w:val="00245592"/>
    <w:rsid w:val="00253156"/>
    <w:rsid w:val="00317036"/>
    <w:rsid w:val="00337922"/>
    <w:rsid w:val="00340867"/>
    <w:rsid w:val="00341E11"/>
    <w:rsid w:val="00380837"/>
    <w:rsid w:val="003A198A"/>
    <w:rsid w:val="003C492E"/>
    <w:rsid w:val="003C588D"/>
    <w:rsid w:val="003D60E6"/>
    <w:rsid w:val="003F66D4"/>
    <w:rsid w:val="003F775B"/>
    <w:rsid w:val="00410914"/>
    <w:rsid w:val="004344A7"/>
    <w:rsid w:val="004378F3"/>
    <w:rsid w:val="00467CAB"/>
    <w:rsid w:val="004822F1"/>
    <w:rsid w:val="004B37F2"/>
    <w:rsid w:val="004D29D2"/>
    <w:rsid w:val="00517A1F"/>
    <w:rsid w:val="00532D38"/>
    <w:rsid w:val="00536930"/>
    <w:rsid w:val="0055558C"/>
    <w:rsid w:val="00564E53"/>
    <w:rsid w:val="005775A4"/>
    <w:rsid w:val="00595758"/>
    <w:rsid w:val="005D1743"/>
    <w:rsid w:val="005E67E9"/>
    <w:rsid w:val="005F3497"/>
    <w:rsid w:val="006056EA"/>
    <w:rsid w:val="00611ADE"/>
    <w:rsid w:val="0063797B"/>
    <w:rsid w:val="00643FD1"/>
    <w:rsid w:val="00644FE2"/>
    <w:rsid w:val="006570CF"/>
    <w:rsid w:val="0067640C"/>
    <w:rsid w:val="006811DA"/>
    <w:rsid w:val="006878FE"/>
    <w:rsid w:val="006A653A"/>
    <w:rsid w:val="006D7128"/>
    <w:rsid w:val="006E678B"/>
    <w:rsid w:val="00711024"/>
    <w:rsid w:val="0072280D"/>
    <w:rsid w:val="00727331"/>
    <w:rsid w:val="00735A80"/>
    <w:rsid w:val="007757F3"/>
    <w:rsid w:val="007E2BC3"/>
    <w:rsid w:val="007E4532"/>
    <w:rsid w:val="007E6AEB"/>
    <w:rsid w:val="008070EF"/>
    <w:rsid w:val="00887DAC"/>
    <w:rsid w:val="008902D5"/>
    <w:rsid w:val="008973EE"/>
    <w:rsid w:val="008D1417"/>
    <w:rsid w:val="0091039B"/>
    <w:rsid w:val="009203F9"/>
    <w:rsid w:val="00944B05"/>
    <w:rsid w:val="00945B4E"/>
    <w:rsid w:val="00971600"/>
    <w:rsid w:val="0099193A"/>
    <w:rsid w:val="009973B4"/>
    <w:rsid w:val="009C28C1"/>
    <w:rsid w:val="009C4F3D"/>
    <w:rsid w:val="009D0A76"/>
    <w:rsid w:val="009D28A3"/>
    <w:rsid w:val="009F7EED"/>
    <w:rsid w:val="00A26D39"/>
    <w:rsid w:val="00AB5D2F"/>
    <w:rsid w:val="00AF0AAB"/>
    <w:rsid w:val="00B14E98"/>
    <w:rsid w:val="00B32CBD"/>
    <w:rsid w:val="00B43D9F"/>
    <w:rsid w:val="00BA4C9C"/>
    <w:rsid w:val="00BE3113"/>
    <w:rsid w:val="00BE4C7C"/>
    <w:rsid w:val="00BF597E"/>
    <w:rsid w:val="00C01B6A"/>
    <w:rsid w:val="00C06CF5"/>
    <w:rsid w:val="00C15701"/>
    <w:rsid w:val="00C24584"/>
    <w:rsid w:val="00C34C6F"/>
    <w:rsid w:val="00C4072B"/>
    <w:rsid w:val="00C51A36"/>
    <w:rsid w:val="00C55228"/>
    <w:rsid w:val="00C82DBB"/>
    <w:rsid w:val="00C85786"/>
    <w:rsid w:val="00CC18F0"/>
    <w:rsid w:val="00CD77B7"/>
    <w:rsid w:val="00CE315A"/>
    <w:rsid w:val="00D06F59"/>
    <w:rsid w:val="00D07DC3"/>
    <w:rsid w:val="00D26766"/>
    <w:rsid w:val="00D8388C"/>
    <w:rsid w:val="00D95366"/>
    <w:rsid w:val="00DC665C"/>
    <w:rsid w:val="00E04C1E"/>
    <w:rsid w:val="00E15AC5"/>
    <w:rsid w:val="00E22A1C"/>
    <w:rsid w:val="00E24B1E"/>
    <w:rsid w:val="00E55C79"/>
    <w:rsid w:val="00E611ED"/>
    <w:rsid w:val="00E67C82"/>
    <w:rsid w:val="00EB0164"/>
    <w:rsid w:val="00ED0F62"/>
    <w:rsid w:val="00EF2D1B"/>
    <w:rsid w:val="00F16DE8"/>
    <w:rsid w:val="00F2272E"/>
    <w:rsid w:val="00FB38B0"/>
    <w:rsid w:val="00FC2F86"/>
    <w:rsid w:val="00FD3466"/>
    <w:rsid w:val="108219C2"/>
    <w:rsid w:val="2D8202C4"/>
    <w:rsid w:val="30CB2FE8"/>
    <w:rsid w:val="5EA12B9A"/>
    <w:rsid w:val="689B5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C30B4-3874-4EAB-907F-C95F63792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2501</Words>
  <Characters>14261</Characters>
  <Lines>118</Lines>
  <Paragraphs>33</Paragraphs>
  <TotalTime>0</TotalTime>
  <ScaleCrop>false</ScaleCrop>
  <LinksUpToDate>false</LinksUpToDate>
  <CharactersWithSpaces>16729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2020-07-27T02:13:00Z</dcterms:created>
  <dc:creator>微软用户</dc:creator>
  <cp:lastModifiedBy>春华秋实</cp:lastModifiedBy>
  <dcterms:modified xsi:type="dcterms:W3CDTF">2021-08-27T00:38:44Z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BE9095B0C4DB4E14B38E5B7566389208</vt:lpwstr>
  </property>
</Properties>
</file>