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sz w:val="36"/>
          <w:szCs w:val="36"/>
        </w:rPr>
      </w:pPr>
      <w:r>
        <w:rPr>
          <w:rFonts w:hint="eastAsia" w:ascii="楷体" w:hAnsi="楷体" w:eastAsia="楷体"/>
          <w:bCs/>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1246"/>
        <w:gridCol w:w="10637"/>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527" w:type="dxa"/>
            <w:vMerge w:val="restart"/>
            <w:vAlign w:val="center"/>
          </w:tcPr>
          <w:p>
            <w:pPr>
              <w:spacing w:before="120" w:line="360" w:lineRule="auto"/>
              <w:jc w:val="center"/>
              <w:rPr>
                <w:rFonts w:ascii="楷体" w:hAnsi="楷体" w:eastAsia="楷体"/>
                <w:sz w:val="24"/>
                <w:szCs w:val="24"/>
              </w:rPr>
            </w:pPr>
            <w:r>
              <w:rPr>
                <w:rFonts w:hint="eastAsia" w:ascii="楷体" w:hAnsi="楷体" w:eastAsia="楷体"/>
                <w:sz w:val="24"/>
                <w:szCs w:val="24"/>
              </w:rPr>
              <w:t>过程与活动、</w:t>
            </w:r>
          </w:p>
          <w:p>
            <w:pPr>
              <w:spacing w:line="360" w:lineRule="auto"/>
              <w:jc w:val="center"/>
              <w:rPr>
                <w:rFonts w:ascii="楷体" w:hAnsi="楷体" w:eastAsia="楷体"/>
                <w:sz w:val="24"/>
                <w:szCs w:val="24"/>
              </w:rPr>
            </w:pPr>
            <w:r>
              <w:rPr>
                <w:rFonts w:hint="eastAsia" w:ascii="楷体" w:hAnsi="楷体" w:eastAsia="楷体"/>
                <w:sz w:val="24"/>
                <w:szCs w:val="24"/>
              </w:rPr>
              <w:t>抽样计划</w:t>
            </w:r>
          </w:p>
        </w:tc>
        <w:tc>
          <w:tcPr>
            <w:tcW w:w="1246" w:type="dxa"/>
            <w:vMerge w:val="restart"/>
            <w:vAlign w:val="center"/>
          </w:tcPr>
          <w:p>
            <w:pPr>
              <w:spacing w:line="360" w:lineRule="auto"/>
              <w:rPr>
                <w:rFonts w:ascii="楷体" w:hAnsi="楷体" w:eastAsia="楷体"/>
                <w:sz w:val="24"/>
                <w:szCs w:val="24"/>
              </w:rPr>
            </w:pPr>
            <w:r>
              <w:rPr>
                <w:rFonts w:hint="eastAsia" w:ascii="楷体" w:hAnsi="楷体" w:eastAsia="楷体"/>
                <w:sz w:val="24"/>
                <w:szCs w:val="24"/>
              </w:rPr>
              <w:t>涉及条款</w:t>
            </w:r>
          </w:p>
        </w:tc>
        <w:tc>
          <w:tcPr>
            <w:tcW w:w="10637" w:type="dxa"/>
            <w:vAlign w:val="center"/>
          </w:tcPr>
          <w:p>
            <w:pPr>
              <w:rPr>
                <w:rFonts w:hint="default" w:ascii="楷体" w:hAnsi="楷体" w:eastAsia="楷体"/>
                <w:sz w:val="24"/>
                <w:szCs w:val="24"/>
                <w:lang w:val="en-US" w:eastAsia="zh-CN"/>
              </w:rPr>
            </w:pPr>
            <w:r>
              <w:rPr>
                <w:rFonts w:hint="eastAsia"/>
                <w:sz w:val="24"/>
                <w:szCs w:val="24"/>
              </w:rPr>
              <w:t>受审核部门：</w:t>
            </w:r>
            <w:r>
              <w:rPr>
                <w:rFonts w:hint="eastAsia"/>
                <w:sz w:val="24"/>
                <w:szCs w:val="24"/>
                <w:lang w:val="en-US" w:eastAsia="zh-CN"/>
              </w:rPr>
              <w:t>财务部</w:t>
            </w:r>
            <w:r>
              <w:rPr>
                <w:rFonts w:hint="eastAsia"/>
                <w:sz w:val="24"/>
                <w:szCs w:val="24"/>
              </w:rPr>
              <w:t xml:space="preserve"> </w:t>
            </w:r>
            <w:r>
              <w:rPr>
                <w:sz w:val="24"/>
                <w:szCs w:val="24"/>
              </w:rPr>
              <w:t xml:space="preserve">      </w:t>
            </w:r>
            <w:r>
              <w:rPr>
                <w:color w:val="auto"/>
                <w:sz w:val="24"/>
                <w:szCs w:val="24"/>
              </w:rPr>
              <w:t xml:space="preserve">  </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szCs w:val="24"/>
                <w:lang w:val="en-US" w:eastAsia="zh-CN"/>
              </w:rPr>
              <w:t>倪娟</w:t>
            </w:r>
          </w:p>
        </w:tc>
        <w:tc>
          <w:tcPr>
            <w:tcW w:w="1299" w:type="dxa"/>
            <w:vMerge w:val="restart"/>
            <w:vAlign w:val="center"/>
          </w:tcPr>
          <w:p>
            <w:pPr>
              <w:spacing w:line="360" w:lineRule="auto"/>
              <w:rPr>
                <w:rFonts w:ascii="楷体" w:hAnsi="楷体" w:eastAsia="楷体"/>
                <w:sz w:val="24"/>
                <w:szCs w:val="24"/>
              </w:rPr>
            </w:pPr>
            <w:r>
              <w:rPr>
                <w:rFonts w:hint="eastAsia" w:ascii="楷体" w:hAnsi="楷体" w:eastAsia="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7" w:type="dxa"/>
            <w:vMerge w:val="continue"/>
            <w:vAlign w:val="center"/>
          </w:tcPr>
          <w:p>
            <w:pPr>
              <w:spacing w:line="360" w:lineRule="auto"/>
              <w:rPr>
                <w:rFonts w:ascii="楷体" w:hAnsi="楷体" w:eastAsia="楷体"/>
                <w:sz w:val="24"/>
                <w:szCs w:val="24"/>
              </w:rPr>
            </w:pPr>
          </w:p>
        </w:tc>
        <w:tc>
          <w:tcPr>
            <w:tcW w:w="1246" w:type="dxa"/>
            <w:vMerge w:val="continue"/>
            <w:vAlign w:val="center"/>
          </w:tcPr>
          <w:p>
            <w:pPr>
              <w:spacing w:line="360" w:lineRule="auto"/>
              <w:rPr>
                <w:rFonts w:ascii="楷体" w:hAnsi="楷体" w:eastAsia="楷体"/>
                <w:sz w:val="24"/>
                <w:szCs w:val="24"/>
              </w:rPr>
            </w:pPr>
          </w:p>
        </w:tc>
        <w:tc>
          <w:tcPr>
            <w:tcW w:w="10637" w:type="dxa"/>
            <w:vAlign w:val="center"/>
          </w:tcPr>
          <w:p>
            <w:pPr>
              <w:spacing w:before="120"/>
              <w:rPr>
                <w:rFonts w:hint="default" w:ascii="楷体" w:hAnsi="楷体" w:eastAsia="楷体"/>
                <w:sz w:val="24"/>
                <w:szCs w:val="24"/>
                <w:lang w:val="en-US" w:eastAsia="zh-CN"/>
              </w:rPr>
            </w:pPr>
            <w:r>
              <w:rPr>
                <w:rFonts w:hint="eastAsia"/>
                <w:sz w:val="24"/>
                <w:szCs w:val="24"/>
                <w:lang w:val="en-US" w:eastAsia="zh-CN"/>
              </w:rPr>
              <w:t>审核员：温红玲 张磊 王翠萍提供专业支持   审核日期：审核日期：2021年08月9日</w:t>
            </w:r>
          </w:p>
        </w:tc>
        <w:tc>
          <w:tcPr>
            <w:tcW w:w="1299" w:type="dxa"/>
            <w:vMerge w:val="continue"/>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27" w:type="dxa"/>
            <w:vMerge w:val="continue"/>
            <w:vAlign w:val="center"/>
          </w:tcPr>
          <w:p>
            <w:pPr>
              <w:spacing w:line="360" w:lineRule="auto"/>
              <w:rPr>
                <w:rFonts w:ascii="楷体" w:hAnsi="楷体" w:eastAsia="楷体"/>
                <w:sz w:val="24"/>
                <w:szCs w:val="24"/>
              </w:rPr>
            </w:pPr>
          </w:p>
        </w:tc>
        <w:tc>
          <w:tcPr>
            <w:tcW w:w="1246" w:type="dxa"/>
            <w:vMerge w:val="continue"/>
            <w:vAlign w:val="center"/>
          </w:tcPr>
          <w:p>
            <w:pPr>
              <w:spacing w:line="360" w:lineRule="auto"/>
              <w:rPr>
                <w:rFonts w:ascii="楷体" w:hAnsi="楷体" w:eastAsia="楷体"/>
                <w:sz w:val="24"/>
                <w:szCs w:val="24"/>
              </w:rPr>
            </w:pPr>
          </w:p>
        </w:tc>
        <w:tc>
          <w:tcPr>
            <w:tcW w:w="10637" w:type="dxa"/>
            <w:vAlign w:val="center"/>
          </w:tcPr>
          <w:p>
            <w:pPr>
              <w:adjustRightInd w:val="0"/>
              <w:snapToGrid w:val="0"/>
              <w:spacing w:line="360" w:lineRule="auto"/>
              <w:ind w:right="105" w:rightChars="50"/>
              <w:textAlignment w:val="baseline"/>
              <w:rPr>
                <w:rFonts w:ascii="楷体" w:hAnsi="楷体" w:eastAsia="楷体" w:cs="Arial"/>
                <w:szCs w:val="21"/>
              </w:rPr>
            </w:pPr>
            <w:r>
              <w:rPr>
                <w:rFonts w:hint="eastAsia" w:ascii="楷体" w:hAnsi="楷体" w:eastAsia="楷体"/>
                <w:szCs w:val="21"/>
              </w:rPr>
              <w:t>审核条款：</w:t>
            </w:r>
            <w:r>
              <w:rPr>
                <w:rFonts w:hint="eastAsia" w:ascii="楷体" w:hAnsi="楷体" w:eastAsia="楷体" w:cs="Arial"/>
                <w:szCs w:val="21"/>
              </w:rPr>
              <w:t xml:space="preserve"> </w:t>
            </w:r>
          </w:p>
          <w:p>
            <w:pPr>
              <w:spacing w:line="360" w:lineRule="auto"/>
              <w:rPr>
                <w:rFonts w:ascii="楷体" w:hAnsi="楷体" w:eastAsia="楷体"/>
                <w:sz w:val="24"/>
                <w:szCs w:val="24"/>
              </w:rPr>
            </w:pPr>
            <w:r>
              <w:rPr>
                <w:rFonts w:hint="eastAsia" w:ascii="楷体" w:hAnsi="楷体" w:eastAsia="楷体" w:cs="Arial"/>
                <w:szCs w:val="21"/>
              </w:rPr>
              <w:t>E/OMS: 6.1.2环境因素/危险源辨识与评价、7.1资源</w:t>
            </w:r>
            <w:r>
              <w:rPr>
                <w:rFonts w:hint="eastAsia" w:ascii="楷体" w:hAnsi="楷体" w:eastAsia="楷体" w:cs="Arial"/>
                <w:szCs w:val="21"/>
                <w:lang w:eastAsia="zh-CN"/>
              </w:rPr>
              <w:t>、</w:t>
            </w:r>
            <w:r>
              <w:rPr>
                <w:rFonts w:hint="eastAsia" w:ascii="楷体" w:hAnsi="楷体" w:eastAsia="楷体" w:cs="Arial"/>
                <w:szCs w:val="21"/>
              </w:rPr>
              <w:t>8.1运行策划和控制、8.2应急准备和响应，</w:t>
            </w:r>
          </w:p>
        </w:tc>
        <w:tc>
          <w:tcPr>
            <w:tcW w:w="1299" w:type="dxa"/>
            <w:vMerge w:val="continue"/>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527" w:type="dxa"/>
          </w:tcPr>
          <w:p>
            <w:pPr>
              <w:spacing w:line="360" w:lineRule="auto"/>
              <w:rPr>
                <w:rFonts w:ascii="楷体" w:hAnsi="楷体" w:eastAsia="楷体"/>
                <w:bCs/>
                <w:sz w:val="24"/>
                <w:szCs w:val="24"/>
              </w:rPr>
            </w:pPr>
            <w:r>
              <w:rPr>
                <w:rFonts w:hint="eastAsia" w:ascii="楷体" w:hAnsi="楷体" w:eastAsia="楷体"/>
                <w:bCs/>
                <w:sz w:val="24"/>
                <w:szCs w:val="24"/>
              </w:rPr>
              <w:t>环境因素</w:t>
            </w:r>
          </w:p>
          <w:p>
            <w:pPr>
              <w:spacing w:line="360" w:lineRule="auto"/>
              <w:rPr>
                <w:rFonts w:ascii="楷体" w:hAnsi="楷体" w:eastAsia="楷体" w:cs="宋体"/>
                <w:sz w:val="24"/>
                <w:szCs w:val="24"/>
              </w:rPr>
            </w:pPr>
            <w:r>
              <w:rPr>
                <w:rFonts w:hint="eastAsia" w:ascii="楷体" w:hAnsi="楷体" w:eastAsia="楷体"/>
                <w:bCs/>
                <w:sz w:val="24"/>
                <w:szCs w:val="24"/>
              </w:rPr>
              <w:t>危险源</w:t>
            </w:r>
          </w:p>
        </w:tc>
        <w:tc>
          <w:tcPr>
            <w:tcW w:w="1246" w:type="dxa"/>
          </w:tcPr>
          <w:p>
            <w:pPr>
              <w:spacing w:line="360" w:lineRule="auto"/>
              <w:rPr>
                <w:rFonts w:ascii="楷体" w:hAnsi="楷体" w:eastAsia="楷体"/>
                <w:bCs/>
                <w:sz w:val="24"/>
                <w:szCs w:val="24"/>
              </w:rPr>
            </w:pPr>
            <w:r>
              <w:rPr>
                <w:rFonts w:hint="eastAsia" w:ascii="楷体" w:hAnsi="楷体" w:eastAsia="楷体"/>
                <w:bCs/>
                <w:sz w:val="24"/>
                <w:szCs w:val="24"/>
              </w:rPr>
              <w:t>EO6.1.2</w:t>
            </w:r>
          </w:p>
          <w:p>
            <w:pPr>
              <w:spacing w:line="360" w:lineRule="auto"/>
              <w:rPr>
                <w:rFonts w:ascii="楷体" w:hAnsi="楷体" w:eastAsia="楷体" w:cs="宋体"/>
                <w:sz w:val="24"/>
                <w:szCs w:val="24"/>
              </w:rPr>
            </w:pPr>
          </w:p>
        </w:tc>
        <w:tc>
          <w:tcPr>
            <w:tcW w:w="10637" w:type="dxa"/>
          </w:tcPr>
          <w:p>
            <w:pPr>
              <w:snapToGrid w:val="0"/>
              <w:spacing w:line="360" w:lineRule="auto"/>
              <w:ind w:firstLine="480" w:firstLineChars="200"/>
              <w:rPr>
                <w:rFonts w:ascii="楷体" w:hAnsi="楷体" w:eastAsia="楷体"/>
                <w:sz w:val="24"/>
                <w:szCs w:val="24"/>
              </w:rPr>
            </w:pPr>
            <w:r>
              <w:rPr>
                <w:rFonts w:hint="eastAsia" w:ascii="楷体" w:hAnsi="楷体" w:eastAsia="楷体"/>
                <w:sz w:val="24"/>
                <w:szCs w:val="24"/>
              </w:rPr>
              <w:t>提供</w:t>
            </w:r>
            <w:r>
              <w:rPr>
                <w:rFonts w:hint="eastAsia" w:ascii="楷体" w:hAnsi="楷体" w:eastAsia="楷体" w:cs="宋体"/>
                <w:sz w:val="24"/>
                <w:szCs w:val="24"/>
              </w:rPr>
              <w:t>了《环境因素的识别、评价控制程序》、《危险源辨识、风险评价和控制措施确定控制程序》，对环境因素、危险源的识别、评价结果、控制手段等做出了</w:t>
            </w:r>
            <w:r>
              <w:rPr>
                <w:rFonts w:hint="eastAsia" w:ascii="楷体" w:hAnsi="楷体" w:eastAsia="楷体"/>
                <w:sz w:val="24"/>
                <w:szCs w:val="24"/>
              </w:rPr>
              <w:t>规定。</w:t>
            </w:r>
          </w:p>
          <w:p>
            <w:pPr>
              <w:snapToGrid w:val="0"/>
              <w:spacing w:line="360" w:lineRule="auto"/>
              <w:ind w:firstLine="480" w:firstLineChars="200"/>
              <w:rPr>
                <w:rFonts w:ascii="楷体" w:hAnsi="楷体" w:eastAsia="楷体"/>
                <w:sz w:val="24"/>
                <w:szCs w:val="24"/>
              </w:rPr>
            </w:pPr>
            <w:r>
              <w:rPr>
                <w:rFonts w:hint="eastAsia" w:ascii="楷体" w:hAnsi="楷体" w:eastAsia="楷体" w:cs="宋体"/>
                <w:color w:val="000000"/>
                <w:sz w:val="24"/>
                <w:szCs w:val="24"/>
              </w:rPr>
              <w:t>部门负责人</w:t>
            </w:r>
            <w:r>
              <w:rPr>
                <w:rFonts w:hint="eastAsia" w:ascii="楷体" w:hAnsi="楷体" w:eastAsia="楷体" w:cs="宋体"/>
                <w:sz w:val="24"/>
                <w:szCs w:val="24"/>
              </w:rPr>
              <w:t>介绍了对环境因素、危险源进行了辨识，考虑了三种时态，过去、现在和将来，三种状态，正常、异常和紧急，按照办公区域及工作过程，另外按照区域及工作过程等进行了辨识。</w:t>
            </w:r>
          </w:p>
          <w:p>
            <w:pPr>
              <w:snapToGrid w:val="0"/>
              <w:spacing w:line="360" w:lineRule="auto"/>
              <w:ind w:right="392" w:firstLine="480" w:firstLineChars="200"/>
              <w:rPr>
                <w:rFonts w:ascii="楷体" w:hAnsi="楷体" w:eastAsia="楷体" w:cs="宋体"/>
                <w:sz w:val="24"/>
                <w:szCs w:val="24"/>
              </w:rPr>
            </w:pPr>
            <w:r>
              <w:rPr>
                <w:rFonts w:hint="eastAsia" w:ascii="楷体" w:hAnsi="楷体" w:eastAsia="楷体" w:cs="宋体"/>
                <w:sz w:val="24"/>
                <w:szCs w:val="24"/>
              </w:rPr>
              <w:t>查《环境因素识别评价表》，对本部门</w:t>
            </w:r>
            <w:r>
              <w:rPr>
                <w:rFonts w:hint="eastAsia" w:ascii="楷体" w:hAnsi="楷体" w:eastAsia="楷体" w:cs="宋体"/>
                <w:sz w:val="24"/>
                <w:szCs w:val="24"/>
                <w:lang w:eastAsia="zh-CN"/>
              </w:rPr>
              <w:t>电力安装</w:t>
            </w:r>
            <w:r>
              <w:rPr>
                <w:rFonts w:hint="eastAsia" w:ascii="楷体" w:hAnsi="楷体" w:eastAsia="楷体" w:cs="宋体"/>
                <w:sz w:val="24"/>
                <w:szCs w:val="24"/>
              </w:rPr>
              <w:t>和办公等有关过程的环境因素。分别识别了日常办公过程中的固废（废电池、灯管、墨盒、笔）造成的地面污染、水资源利用（拖地、厕所用水）的水资源消耗、照明、空调、办公设施等电能消耗、意外火灾引起的污染大气、污染地面、资源消耗、</w:t>
            </w:r>
            <w:r>
              <w:rPr>
                <w:rFonts w:hint="eastAsia" w:ascii="楷体" w:hAnsi="楷体" w:eastAsia="楷体" w:cs="宋体"/>
                <w:sz w:val="24"/>
                <w:szCs w:val="24"/>
                <w:lang w:eastAsia="zh-CN"/>
              </w:rPr>
              <w:t>电力安装</w:t>
            </w:r>
            <w:r>
              <w:rPr>
                <w:rFonts w:hint="eastAsia" w:ascii="楷体" w:hAnsi="楷体" w:eastAsia="楷体" w:cs="宋体"/>
                <w:sz w:val="24"/>
                <w:szCs w:val="24"/>
              </w:rPr>
              <w:t>过程（固废、噪声排放、火灾、电能消耗、粉尘排放、噪声超标）、设备维修（废弃丢弃、漏油、更换新部件）等环境因素。</w:t>
            </w:r>
          </w:p>
          <w:p>
            <w:pPr>
              <w:snapToGrid w:val="0"/>
              <w:spacing w:line="360" w:lineRule="auto"/>
              <w:ind w:right="392" w:firstLine="480" w:firstLineChars="200"/>
              <w:rPr>
                <w:rFonts w:ascii="楷体" w:hAnsi="楷体" w:eastAsia="楷体" w:cs="宋体"/>
                <w:sz w:val="24"/>
                <w:szCs w:val="24"/>
              </w:rPr>
            </w:pPr>
            <w:r>
              <w:rPr>
                <w:rFonts w:hint="eastAsia" w:ascii="楷体" w:hAnsi="楷体" w:eastAsia="楷体" w:cs="宋体"/>
                <w:color w:val="000000"/>
                <w:sz w:val="24"/>
                <w:szCs w:val="24"/>
              </w:rPr>
              <w:t>查到：《重要环境因素清单》，公司涉及重要环境因素：</w:t>
            </w:r>
            <w:r>
              <w:rPr>
                <w:rFonts w:hint="eastAsia" w:ascii="楷体" w:hAnsi="楷体" w:eastAsia="楷体" w:cs="宋体"/>
                <w:sz w:val="24"/>
                <w:szCs w:val="24"/>
              </w:rPr>
              <w:t>电的消耗，固体废弃物的排放，用电不当导致火灾，</w:t>
            </w:r>
            <w:r>
              <w:rPr>
                <w:rFonts w:hint="eastAsia" w:ascii="楷体" w:hAnsi="楷体" w:eastAsia="楷体" w:cs="宋体"/>
                <w:sz w:val="24"/>
                <w:szCs w:val="24"/>
                <w:lang w:val="en-US" w:eastAsia="zh-CN"/>
              </w:rPr>
              <w:t>噪声的排放，</w:t>
            </w:r>
            <w:r>
              <w:rPr>
                <w:rFonts w:hint="eastAsia" w:ascii="楷体" w:hAnsi="楷体" w:eastAsia="楷体" w:cs="宋体"/>
                <w:sz w:val="24"/>
                <w:szCs w:val="24"/>
              </w:rPr>
              <w:t>粉尘排放等</w:t>
            </w:r>
            <w:r>
              <w:rPr>
                <w:rFonts w:hint="eastAsia" w:ascii="楷体" w:hAnsi="楷体" w:eastAsia="楷体" w:cs="宋体"/>
                <w:color w:val="000000"/>
                <w:sz w:val="24"/>
                <w:szCs w:val="24"/>
              </w:rPr>
              <w:t>，本部门涉及的重要环境因素：</w:t>
            </w:r>
            <w:r>
              <w:rPr>
                <w:rFonts w:hint="eastAsia" w:ascii="楷体" w:hAnsi="楷体" w:eastAsia="楷体" w:cs="宋体"/>
                <w:sz w:val="24"/>
                <w:szCs w:val="24"/>
              </w:rPr>
              <w:t>电的消耗，固体废弃物的排放，用电不当导致火灾</w:t>
            </w:r>
            <w:r>
              <w:rPr>
                <w:rFonts w:hint="eastAsia" w:ascii="楷体" w:hAnsi="楷体" w:eastAsia="楷体" w:cs="宋体"/>
                <w:sz w:val="24"/>
                <w:szCs w:val="24"/>
              </w:rPr>
              <w:t>。</w:t>
            </w:r>
          </w:p>
          <w:p>
            <w:pPr>
              <w:snapToGrid w:val="0"/>
              <w:spacing w:line="360" w:lineRule="auto"/>
              <w:ind w:right="392" w:firstLine="480" w:firstLineChars="200"/>
              <w:rPr>
                <w:rFonts w:ascii="楷体" w:hAnsi="楷体" w:eastAsia="楷体" w:cs="宋体"/>
                <w:sz w:val="24"/>
                <w:szCs w:val="24"/>
              </w:rPr>
            </w:pPr>
            <w:r>
              <w:rPr>
                <w:rFonts w:hint="eastAsia" w:ascii="楷体" w:hAnsi="楷体" w:eastAsia="楷体" w:cs="宋体"/>
                <w:sz w:val="24"/>
                <w:szCs w:val="24"/>
              </w:rPr>
              <w:t>查《危险源辨识及风险评价表》，</w:t>
            </w:r>
            <w:r>
              <w:rPr>
                <w:rFonts w:hint="eastAsia" w:ascii="楷体" w:hAnsi="楷体" w:eastAsia="楷体" w:cs="宋体"/>
                <w:sz w:val="24"/>
                <w:szCs w:val="24"/>
                <w:lang w:eastAsia="zh-TW"/>
              </w:rPr>
              <w:t>部门：</w:t>
            </w:r>
            <w:r>
              <w:rPr>
                <w:rFonts w:hint="eastAsia" w:ascii="楷体" w:hAnsi="楷体" w:eastAsia="楷体" w:cs="宋体"/>
                <w:sz w:val="24"/>
                <w:szCs w:val="24"/>
                <w:lang w:eastAsia="zh-CN"/>
              </w:rPr>
              <w:t>财务部</w:t>
            </w:r>
            <w:r>
              <w:rPr>
                <w:rFonts w:hint="eastAsia" w:ascii="楷体" w:hAnsi="楷体" w:eastAsia="楷体" w:cs="宋体"/>
                <w:sz w:val="24"/>
                <w:szCs w:val="24"/>
                <w:lang w:eastAsia="zh-TW"/>
              </w:rPr>
              <w:t>，识别了办公和</w:t>
            </w:r>
            <w:r>
              <w:rPr>
                <w:rFonts w:hint="eastAsia" w:ascii="楷体" w:hAnsi="楷体" w:eastAsia="楷体" w:cs="宋体"/>
                <w:sz w:val="24"/>
                <w:szCs w:val="24"/>
                <w:lang w:eastAsia="zh-CN"/>
              </w:rPr>
              <w:t>电力安装</w:t>
            </w:r>
            <w:r>
              <w:rPr>
                <w:rFonts w:hint="eastAsia" w:ascii="楷体" w:hAnsi="楷体" w:eastAsia="楷体" w:cs="宋体"/>
                <w:sz w:val="24"/>
                <w:szCs w:val="24"/>
                <w:lang w:eastAsia="zh-TW"/>
              </w:rPr>
              <w:t>过程中</w:t>
            </w:r>
            <w:r>
              <w:rPr>
                <w:rFonts w:hint="eastAsia" w:ascii="楷体" w:hAnsi="楷体" w:eastAsia="楷体" w:cs="宋体"/>
                <w:sz w:val="24"/>
                <w:szCs w:val="24"/>
              </w:rPr>
              <w:t>垃圾不理不及时</w:t>
            </w:r>
            <w:r>
              <w:rPr>
                <w:rFonts w:hint="eastAsia" w:ascii="楷体" w:hAnsi="楷体" w:eastAsia="楷体" w:cs="宋体"/>
                <w:sz w:val="24"/>
                <w:szCs w:val="24"/>
                <w:lang w:eastAsia="zh-TW"/>
              </w:rPr>
              <w:t>可能导致的</w:t>
            </w:r>
            <w:r>
              <w:rPr>
                <w:rFonts w:hint="eastAsia" w:ascii="楷体" w:hAnsi="楷体" w:eastAsia="楷体" w:cs="宋体"/>
                <w:sz w:val="24"/>
                <w:szCs w:val="24"/>
              </w:rPr>
              <w:t>疾病传染</w:t>
            </w:r>
            <w:r>
              <w:rPr>
                <w:rFonts w:hint="eastAsia" w:ascii="楷体" w:hAnsi="楷体" w:eastAsia="楷体" w:cs="宋体"/>
                <w:sz w:val="24"/>
                <w:szCs w:val="24"/>
                <w:lang w:eastAsia="zh-TW"/>
              </w:rPr>
              <w:t>、</w:t>
            </w:r>
            <w:r>
              <w:rPr>
                <w:rFonts w:hint="eastAsia" w:ascii="楷体" w:hAnsi="楷体" w:eastAsia="楷体" w:cs="宋体"/>
                <w:sz w:val="24"/>
                <w:szCs w:val="24"/>
              </w:rPr>
              <w:t>人离开未断电源</w:t>
            </w:r>
            <w:r>
              <w:rPr>
                <w:rFonts w:hint="eastAsia" w:ascii="楷体" w:hAnsi="楷体" w:eastAsia="楷体" w:cs="宋体"/>
                <w:sz w:val="24"/>
                <w:szCs w:val="24"/>
                <w:lang w:eastAsia="zh-TW"/>
              </w:rPr>
              <w:t>可能导致的火灾、</w:t>
            </w:r>
            <w:r>
              <w:rPr>
                <w:rFonts w:hint="eastAsia" w:ascii="楷体" w:hAnsi="楷体" w:eastAsia="楷体" w:cs="宋体"/>
                <w:sz w:val="24"/>
                <w:szCs w:val="24"/>
                <w:lang w:eastAsia="zh-CN"/>
              </w:rPr>
              <w:t>电力安装</w:t>
            </w:r>
            <w:r>
              <w:rPr>
                <w:rFonts w:hint="eastAsia" w:ascii="楷体" w:hAnsi="楷体" w:eastAsia="楷体" w:cs="宋体"/>
                <w:sz w:val="24"/>
                <w:szCs w:val="24"/>
                <w:lang w:eastAsia="zh-TW"/>
              </w:rPr>
              <w:t>过程</w:t>
            </w:r>
            <w:r>
              <w:rPr>
                <w:rFonts w:hint="eastAsia" w:ascii="楷体" w:hAnsi="楷体" w:eastAsia="楷体" w:cs="宋体"/>
                <w:sz w:val="24"/>
                <w:szCs w:val="24"/>
              </w:rPr>
              <w:t>违规操作</w:t>
            </w:r>
            <w:r>
              <w:rPr>
                <w:rFonts w:hint="eastAsia" w:ascii="楷体" w:hAnsi="楷体" w:eastAsia="楷体" w:cs="宋体"/>
                <w:sz w:val="24"/>
                <w:szCs w:val="24"/>
                <w:lang w:eastAsia="zh-TW"/>
              </w:rPr>
              <w:t>可能导致的</w:t>
            </w:r>
            <w:r>
              <w:rPr>
                <w:rFonts w:hint="eastAsia" w:ascii="楷体" w:hAnsi="楷体" w:eastAsia="楷体" w:cs="宋体"/>
                <w:sz w:val="24"/>
                <w:szCs w:val="24"/>
              </w:rPr>
              <w:t>人身伤害</w:t>
            </w:r>
            <w:r>
              <w:rPr>
                <w:rFonts w:hint="eastAsia" w:ascii="楷体" w:hAnsi="楷体" w:eastAsia="楷体" w:cs="宋体"/>
                <w:sz w:val="24"/>
                <w:szCs w:val="24"/>
                <w:lang w:eastAsia="zh-TW"/>
              </w:rPr>
              <w:t>等危险源</w:t>
            </w:r>
            <w:r>
              <w:rPr>
                <w:rFonts w:hint="eastAsia" w:ascii="楷体" w:hAnsi="楷体" w:eastAsia="楷体" w:cs="宋体"/>
                <w:sz w:val="24"/>
                <w:szCs w:val="24"/>
              </w:rPr>
              <w:t>。</w:t>
            </w:r>
          </w:p>
          <w:p>
            <w:pPr>
              <w:snapToGrid w:val="0"/>
              <w:spacing w:line="360" w:lineRule="auto"/>
              <w:ind w:right="392" w:firstLine="480" w:firstLineChars="200"/>
              <w:rPr>
                <w:rFonts w:ascii="楷体" w:hAnsi="楷体" w:eastAsia="楷体" w:cs="宋体"/>
                <w:sz w:val="24"/>
                <w:szCs w:val="24"/>
              </w:rPr>
            </w:pPr>
            <w:r>
              <w:rPr>
                <w:rFonts w:hint="eastAsia" w:ascii="楷体" w:hAnsi="楷体" w:eastAsia="楷体" w:cs="宋体"/>
                <w:color w:val="000000"/>
                <w:sz w:val="24"/>
                <w:szCs w:val="24"/>
              </w:rPr>
              <w:t>查到：《不可接受风险清单》，</w:t>
            </w:r>
            <w:r>
              <w:rPr>
                <w:rFonts w:hint="eastAsia" w:ascii="楷体" w:hAnsi="楷体" w:eastAsia="楷体" w:cs="宋体"/>
                <w:sz w:val="24"/>
                <w:szCs w:val="24"/>
                <w:lang w:eastAsia="zh-TW"/>
              </w:rPr>
              <w:t>公司涉及重大危险源：潜在火灾、触电、人身伤害、机械伤害、职业病伤害，本部门涉及的不可接受风险：</w:t>
            </w:r>
            <w:r>
              <w:rPr>
                <w:rFonts w:hint="eastAsia" w:ascii="楷体" w:hAnsi="楷体" w:eastAsia="楷体" w:cs="宋体"/>
                <w:sz w:val="24"/>
                <w:szCs w:val="24"/>
                <w:lang w:eastAsia="zh-TW"/>
              </w:rPr>
              <w:t>潜在火灾、触电、人身伤害</w:t>
            </w:r>
            <w:r>
              <w:rPr>
                <w:rFonts w:hint="eastAsia" w:ascii="楷体" w:hAnsi="楷体" w:eastAsia="楷体" w:cs="宋体"/>
                <w:sz w:val="24"/>
                <w:szCs w:val="24"/>
              </w:rPr>
              <w:t>。</w:t>
            </w:r>
          </w:p>
          <w:p>
            <w:pPr>
              <w:snapToGrid w:val="0"/>
              <w:spacing w:line="360" w:lineRule="auto"/>
              <w:ind w:right="392" w:firstLine="480" w:firstLineChars="200"/>
              <w:rPr>
                <w:rFonts w:ascii="楷体" w:hAnsi="楷体" w:eastAsia="楷体" w:cs="宋体"/>
                <w:sz w:val="24"/>
                <w:szCs w:val="24"/>
              </w:rPr>
            </w:pPr>
            <w:r>
              <w:rPr>
                <w:rFonts w:hint="eastAsia" w:ascii="楷体" w:hAnsi="楷体" w:eastAsia="楷体" w:cs="宋体"/>
                <w:sz w:val="24"/>
                <w:szCs w:val="24"/>
                <w:lang w:eastAsia="zh-TW"/>
              </w:rPr>
              <w:t>对于</w:t>
            </w:r>
            <w:r>
              <w:rPr>
                <w:rFonts w:hint="eastAsia" w:ascii="楷体" w:hAnsi="楷体" w:eastAsia="楷体" w:cs="宋体"/>
                <w:sz w:val="24"/>
                <w:szCs w:val="24"/>
              </w:rPr>
              <w:t>环境因素、重要环境因素及危险源、不可接受风险等通过运行控制、管理方案、应急准备与响应进行控制。</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lang w:eastAsia="zh-CN"/>
              </w:rPr>
              <w:t>财务部</w:t>
            </w:r>
            <w:r>
              <w:rPr>
                <w:rFonts w:hint="eastAsia" w:ascii="楷体" w:hAnsi="楷体" w:eastAsia="楷体" w:cs="宋体"/>
                <w:sz w:val="24"/>
                <w:szCs w:val="24"/>
              </w:rPr>
              <w:t>环境因素、危险源的识别、评价基本符合标准要求。</w:t>
            </w:r>
          </w:p>
        </w:tc>
        <w:tc>
          <w:tcPr>
            <w:tcW w:w="1299" w:type="dxa"/>
          </w:tcPr>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r>
              <w:rPr>
                <w:rFonts w:hint="eastAsia" w:ascii="楷体" w:hAnsi="楷体" w:eastAsia="楷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527" w:type="dxa"/>
            <w:vAlign w:val="top"/>
          </w:tcPr>
          <w:p>
            <w:pPr>
              <w:spacing w:line="360" w:lineRule="auto"/>
              <w:rPr>
                <w:rFonts w:hint="eastAsia" w:ascii="楷体" w:hAnsi="楷体" w:eastAsia="楷体" w:cs="Times New Roman"/>
                <w:bCs/>
                <w:sz w:val="24"/>
                <w:szCs w:val="24"/>
              </w:rPr>
            </w:pPr>
            <w:r>
              <w:rPr>
                <w:rFonts w:hint="eastAsia" w:ascii="楷体" w:hAnsi="楷体" w:eastAsia="楷体" w:cs="Times New Roman"/>
                <w:bCs/>
                <w:sz w:val="24"/>
                <w:szCs w:val="24"/>
              </w:rPr>
              <w:t>资源</w:t>
            </w:r>
          </w:p>
        </w:tc>
        <w:tc>
          <w:tcPr>
            <w:tcW w:w="1246" w:type="dxa"/>
            <w:vAlign w:val="top"/>
          </w:tcPr>
          <w:p>
            <w:pPr>
              <w:spacing w:line="360" w:lineRule="auto"/>
              <w:rPr>
                <w:rFonts w:hint="eastAsia" w:ascii="楷体" w:hAnsi="楷体" w:eastAsia="楷体" w:cs="Times New Roman"/>
                <w:bCs/>
                <w:sz w:val="24"/>
                <w:szCs w:val="24"/>
              </w:rPr>
            </w:pPr>
            <w:r>
              <w:rPr>
                <w:rFonts w:hint="eastAsia" w:ascii="楷体" w:hAnsi="楷体" w:eastAsia="楷体" w:cs="Times New Roman"/>
                <w:bCs/>
                <w:sz w:val="24"/>
                <w:szCs w:val="24"/>
              </w:rPr>
              <w:t>E7.1</w:t>
            </w:r>
          </w:p>
          <w:p>
            <w:pPr>
              <w:spacing w:line="360" w:lineRule="auto"/>
              <w:rPr>
                <w:rFonts w:hint="eastAsia" w:ascii="楷体" w:hAnsi="楷体" w:eastAsia="楷体" w:cs="Times New Roman"/>
                <w:bCs/>
                <w:sz w:val="24"/>
                <w:szCs w:val="24"/>
              </w:rPr>
            </w:pPr>
            <w:r>
              <w:rPr>
                <w:rFonts w:hint="eastAsia" w:ascii="楷体" w:hAnsi="楷体" w:eastAsia="楷体" w:cs="Times New Roman"/>
                <w:bCs/>
                <w:sz w:val="24"/>
                <w:szCs w:val="24"/>
                <w:lang w:val="en-US" w:eastAsia="zh-CN"/>
              </w:rPr>
              <w:t>O</w:t>
            </w:r>
            <w:r>
              <w:rPr>
                <w:rFonts w:hint="eastAsia" w:ascii="楷体" w:hAnsi="楷体" w:eastAsia="楷体" w:cs="Times New Roman"/>
                <w:bCs/>
                <w:sz w:val="24"/>
                <w:szCs w:val="24"/>
              </w:rPr>
              <w:t>7.1</w:t>
            </w:r>
          </w:p>
          <w:p>
            <w:pPr>
              <w:spacing w:line="360" w:lineRule="auto"/>
              <w:rPr>
                <w:rFonts w:hint="eastAsia" w:ascii="楷体" w:hAnsi="楷体" w:eastAsia="楷体" w:cs="Times New Roman"/>
                <w:bCs/>
                <w:sz w:val="24"/>
                <w:szCs w:val="24"/>
              </w:rPr>
            </w:pPr>
          </w:p>
        </w:tc>
        <w:tc>
          <w:tcPr>
            <w:tcW w:w="10637"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hint="eastAsia" w:ascii="Times New Roman" w:hAnsi="Times New Roman" w:eastAsia="宋体" w:cs="Times New Roman"/>
                <w:kern w:val="2"/>
                <w:sz w:val="21"/>
                <w:szCs w:val="20"/>
                <w:lang w:val="en-US" w:eastAsia="zh-CN" w:bidi="ar-SA"/>
              </w:rPr>
            </w:pPr>
            <w:r>
              <w:rPr>
                <w:rFonts w:hint="eastAsia" w:ascii="宋体" w:hAnsi="宋体" w:cs="宋体"/>
                <w:szCs w:val="21"/>
              </w:rPr>
              <w:t>总经理对资源的配备比较重视，人力资源、设备和工作环境等可满足资质范围内的需要。</w:t>
            </w:r>
          </w:p>
        </w:tc>
        <w:tc>
          <w:tcPr>
            <w:tcW w:w="1299"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527" w:type="dxa"/>
          </w:tcPr>
          <w:p>
            <w:pPr>
              <w:spacing w:line="360" w:lineRule="auto"/>
              <w:rPr>
                <w:rFonts w:ascii="楷体" w:hAnsi="楷体" w:eastAsia="楷体" w:cs="宋体"/>
                <w:sz w:val="24"/>
                <w:szCs w:val="24"/>
              </w:rPr>
            </w:pPr>
            <w:r>
              <w:rPr>
                <w:rFonts w:hint="eastAsia" w:ascii="楷体" w:hAnsi="楷体" w:eastAsia="楷体"/>
                <w:bCs/>
                <w:sz w:val="24"/>
                <w:szCs w:val="24"/>
              </w:rPr>
              <w:t>运行控制</w:t>
            </w:r>
          </w:p>
        </w:tc>
        <w:tc>
          <w:tcPr>
            <w:tcW w:w="1246" w:type="dxa"/>
          </w:tcPr>
          <w:p>
            <w:pPr>
              <w:spacing w:line="360" w:lineRule="auto"/>
              <w:rPr>
                <w:rFonts w:ascii="楷体" w:hAnsi="楷体" w:eastAsia="楷体"/>
                <w:bCs/>
                <w:sz w:val="24"/>
                <w:szCs w:val="24"/>
              </w:rPr>
            </w:pPr>
            <w:r>
              <w:rPr>
                <w:rFonts w:hint="eastAsia" w:ascii="楷体" w:hAnsi="楷体" w:eastAsia="楷体"/>
                <w:bCs/>
                <w:sz w:val="24"/>
                <w:szCs w:val="24"/>
              </w:rPr>
              <w:t>EO8.1</w:t>
            </w:r>
          </w:p>
          <w:p>
            <w:pPr>
              <w:spacing w:line="360" w:lineRule="auto"/>
              <w:rPr>
                <w:rFonts w:ascii="楷体" w:hAnsi="楷体" w:eastAsia="楷体" w:cs="宋体"/>
                <w:sz w:val="24"/>
                <w:szCs w:val="24"/>
              </w:rPr>
            </w:pPr>
          </w:p>
        </w:tc>
        <w:tc>
          <w:tcPr>
            <w:tcW w:w="10637" w:type="dxa"/>
            <w:vAlign w:val="top"/>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8"/>
              <w:ind w:firstLine="0" w:firstLineChars="0"/>
              <w:rPr>
                <w:rFonts w:ascii="宋体" w:hAnsi="宋体" w:cs="宋体"/>
                <w:szCs w:val="21"/>
              </w:rPr>
            </w:pPr>
            <w:r>
              <w:rPr>
                <w:rFonts w:hint="eastAsia" w:ascii="宋体" w:hAnsi="宋体" w:cs="宋体"/>
                <w:szCs w:val="21"/>
              </w:rPr>
              <w:t>生活垃圾在办公区域集中收集后，由物业管理交环卫部门统一定期清运；回收固废处理作好分类回收。</w:t>
            </w:r>
          </w:p>
          <w:p>
            <w:pPr>
              <w:pStyle w:val="28"/>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hint="eastAsia"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p>
            <w:r>
              <w:rPr>
                <w:rFonts w:hint="eastAsia" w:ascii="宋体" w:hAnsi="宋体" w:cs="宋体"/>
                <w:szCs w:val="21"/>
              </w:rPr>
              <w:t xml:space="preserve">  </w:t>
            </w:r>
            <w:bookmarkStart w:id="0" w:name="_GoBack"/>
            <w:bookmarkEnd w:id="0"/>
          </w:p>
        </w:tc>
        <w:tc>
          <w:tcPr>
            <w:tcW w:w="1299"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27" w:type="dxa"/>
          </w:tcPr>
          <w:p>
            <w:pPr>
              <w:spacing w:line="360" w:lineRule="auto"/>
              <w:rPr>
                <w:rFonts w:ascii="楷体" w:hAnsi="楷体" w:eastAsia="楷体" w:cs="宋体"/>
                <w:sz w:val="24"/>
                <w:szCs w:val="24"/>
              </w:rPr>
            </w:pPr>
            <w:r>
              <w:rPr>
                <w:rFonts w:hint="eastAsia" w:ascii="楷体" w:hAnsi="楷体" w:eastAsia="楷体"/>
                <w:bCs/>
                <w:sz w:val="24"/>
                <w:szCs w:val="24"/>
              </w:rPr>
              <w:t>应急准备和相应</w:t>
            </w:r>
          </w:p>
        </w:tc>
        <w:tc>
          <w:tcPr>
            <w:tcW w:w="1246" w:type="dxa"/>
          </w:tcPr>
          <w:p>
            <w:pPr>
              <w:spacing w:line="360" w:lineRule="auto"/>
              <w:rPr>
                <w:rFonts w:ascii="楷体" w:hAnsi="楷体" w:eastAsia="楷体"/>
                <w:bCs/>
                <w:sz w:val="24"/>
                <w:szCs w:val="24"/>
              </w:rPr>
            </w:pPr>
            <w:r>
              <w:rPr>
                <w:rFonts w:hint="eastAsia" w:ascii="楷体" w:hAnsi="楷体" w:eastAsia="楷体"/>
                <w:bCs/>
                <w:sz w:val="24"/>
                <w:szCs w:val="24"/>
              </w:rPr>
              <w:t>EO8.2</w:t>
            </w:r>
          </w:p>
        </w:tc>
        <w:tc>
          <w:tcPr>
            <w:tcW w:w="10637" w:type="dxa"/>
          </w:tcPr>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lang w:eastAsia="zh-CN"/>
              </w:rPr>
              <w:t>财务部</w:t>
            </w:r>
            <w:r>
              <w:rPr>
                <w:rFonts w:hint="eastAsia" w:ascii="楷体" w:hAnsi="楷体" w:eastAsia="楷体" w:cs="宋体"/>
                <w:sz w:val="24"/>
                <w:szCs w:val="24"/>
              </w:rPr>
              <w:t>按照策划的《应急准备和响应控制程序程序》《火灾应急预案》等，明确了相应的运行准则。</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lang w:eastAsia="zh-CN"/>
              </w:rPr>
              <w:t>电力安装</w:t>
            </w:r>
            <w:r>
              <w:rPr>
                <w:rFonts w:hint="eastAsia" w:ascii="楷体" w:hAnsi="楷体" w:eastAsia="楷体" w:cs="宋体"/>
                <w:sz w:val="24"/>
                <w:szCs w:val="24"/>
              </w:rPr>
              <w:t>过程中加强用电安全，防止触电事故和火灾事故的发生。</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 xml:space="preserve">查看灭火器在有效期内。  </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配有急救药箱，箱内有创可贴、消毒酒精、碘伏、棉棒等。</w:t>
            </w:r>
          </w:p>
          <w:p>
            <w:pPr>
              <w:spacing w:line="360" w:lineRule="auto"/>
              <w:ind w:firstLine="480" w:firstLineChars="200"/>
              <w:rPr>
                <w:rFonts w:hint="eastAsia" w:ascii="楷体" w:hAnsi="楷体" w:eastAsia="楷体"/>
                <w:sz w:val="24"/>
                <w:szCs w:val="24"/>
              </w:rPr>
            </w:pPr>
            <w:r>
              <w:rPr>
                <w:rFonts w:hint="eastAsia" w:ascii="楷体" w:hAnsi="楷体" w:eastAsia="楷体"/>
                <w:sz w:val="24"/>
                <w:szCs w:val="24"/>
              </w:rPr>
              <w:t>查202</w:t>
            </w:r>
            <w:r>
              <w:rPr>
                <w:rFonts w:hint="eastAsia" w:ascii="楷体" w:hAnsi="楷体" w:eastAsia="楷体"/>
                <w:sz w:val="24"/>
                <w:szCs w:val="24"/>
                <w:lang w:val="en-US" w:eastAsia="zh-CN"/>
              </w:rPr>
              <w:t>1</w:t>
            </w:r>
            <w:r>
              <w:rPr>
                <w:rFonts w:hint="eastAsia" w:ascii="楷体" w:hAnsi="楷体" w:eastAsia="楷体"/>
                <w:sz w:val="24"/>
                <w:szCs w:val="24"/>
              </w:rPr>
              <w:t>年4月15日参加了火灾预案演练，提供了相关记录。</w:t>
            </w:r>
          </w:p>
          <w:p>
            <w:pPr>
              <w:pStyle w:val="2"/>
              <w:ind w:left="0" w:leftChars="0" w:firstLine="480" w:firstLineChars="200"/>
              <w:rPr>
                <w:rFonts w:hint="eastAsia"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查2021年4月25日</w:t>
            </w:r>
            <w:r>
              <w:rPr>
                <w:rFonts w:hint="eastAsia" w:ascii="楷体" w:hAnsi="楷体" w:eastAsia="楷体"/>
                <w:sz w:val="24"/>
                <w:szCs w:val="24"/>
              </w:rPr>
              <w:t>参加了触电专项应急救援预案</w:t>
            </w:r>
            <w:r>
              <w:rPr>
                <w:rFonts w:hint="eastAsia" w:ascii="楷体" w:hAnsi="楷体" w:eastAsia="楷体"/>
                <w:sz w:val="24"/>
                <w:szCs w:val="24"/>
                <w:lang w:val="en-US" w:eastAsia="zh-CN"/>
              </w:rPr>
              <w:t>的演练</w:t>
            </w:r>
            <w:r>
              <w:rPr>
                <w:rFonts w:hint="eastAsia" w:ascii="楷体" w:hAnsi="楷体" w:eastAsia="楷体"/>
                <w:sz w:val="24"/>
                <w:szCs w:val="24"/>
              </w:rPr>
              <w:t>，提供了相关记录。</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自体系运行以来未出现应急事故情况。</w:t>
            </w:r>
          </w:p>
        </w:tc>
        <w:tc>
          <w:tcPr>
            <w:tcW w:w="1299"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527" w:type="dxa"/>
          </w:tcPr>
          <w:p>
            <w:pPr>
              <w:spacing w:line="360" w:lineRule="auto"/>
              <w:rPr>
                <w:rFonts w:ascii="楷体" w:hAnsi="楷体" w:eastAsia="楷体" w:cs="宋体"/>
                <w:sz w:val="24"/>
                <w:szCs w:val="24"/>
              </w:rPr>
            </w:pPr>
          </w:p>
        </w:tc>
        <w:tc>
          <w:tcPr>
            <w:tcW w:w="1246" w:type="dxa"/>
          </w:tcPr>
          <w:p>
            <w:pPr>
              <w:spacing w:line="360" w:lineRule="auto"/>
              <w:rPr>
                <w:rFonts w:ascii="楷体" w:hAnsi="楷体" w:eastAsia="楷体" w:cs="宋体"/>
                <w:sz w:val="24"/>
                <w:szCs w:val="24"/>
              </w:rPr>
            </w:pPr>
          </w:p>
        </w:tc>
        <w:tc>
          <w:tcPr>
            <w:tcW w:w="10637" w:type="dxa"/>
            <w:vAlign w:val="center"/>
          </w:tcPr>
          <w:p>
            <w:pPr>
              <w:snapToGrid w:val="0"/>
              <w:spacing w:line="360" w:lineRule="auto"/>
              <w:ind w:firstLine="480" w:firstLineChars="200"/>
              <w:jc w:val="left"/>
              <w:rPr>
                <w:rFonts w:ascii="楷体" w:hAnsi="楷体" w:eastAsia="楷体" w:cs="宋体"/>
                <w:sz w:val="24"/>
                <w:szCs w:val="24"/>
              </w:rPr>
            </w:pPr>
          </w:p>
        </w:tc>
        <w:tc>
          <w:tcPr>
            <w:tcW w:w="1299" w:type="dxa"/>
          </w:tcPr>
          <w:p>
            <w:pPr>
              <w:spacing w:line="360" w:lineRule="auto"/>
              <w:rPr>
                <w:rFonts w:ascii="楷体" w:hAnsi="楷体" w:eastAsia="楷体"/>
                <w:sz w:val="24"/>
                <w:szCs w:val="24"/>
              </w:rPr>
            </w:pPr>
          </w:p>
        </w:tc>
      </w:tr>
    </w:tbl>
    <w:p>
      <w:pPr>
        <w:rPr>
          <w:rFonts w:ascii="楷体" w:hAnsi="楷体" w:eastAsia="楷体"/>
        </w:rPr>
      </w:pPr>
      <w:r>
        <w:rPr>
          <w:rFonts w:ascii="楷体" w:hAnsi="楷体" w:eastAsia="楷体"/>
        </w:rPr>
        <w:ptab w:relativeTo="margin" w:alignment="center" w:leader="none"/>
      </w:r>
    </w:p>
    <w:p>
      <w:pPr>
        <w:rPr>
          <w:rFonts w:ascii="楷体" w:hAnsi="楷体" w:eastAsia="楷体"/>
        </w:rPr>
      </w:pPr>
    </w:p>
    <w:p>
      <w:pPr>
        <w:pStyle w:val="9"/>
        <w:rPr>
          <w:rFonts w:ascii="楷体" w:hAnsi="楷体" w:eastAsia="楷体"/>
        </w:rPr>
      </w:pPr>
      <w:r>
        <w:rPr>
          <w:rFonts w:hint="eastAsia" w:ascii="楷体" w:hAnsi="楷体" w:eastAsia="楷体"/>
        </w:rPr>
        <w:t>说明：不符合标注N</w:t>
      </w:r>
    </w:p>
    <w:sectPr>
      <w:headerReference r:id="rId3" w:type="default"/>
      <w:footerReference r:id="rId4" w:type="default"/>
      <w:pgSz w:w="16838" w:h="11906" w:orient="landscape"/>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ISC-B-II-31 管理体系审核记录表(03版)</w:t>
                </w:r>
              </w:p>
            </w:txbxContent>
          </v:textbox>
        </v:shape>
      </w:pict>
    </w:r>
    <w:r>
      <w:rPr>
        <w:rStyle w:val="19"/>
        <w:rFonts w:hint="default"/>
      </w:rPr>
      <w:t xml:space="preserve">        </w:t>
    </w:r>
    <w:r>
      <w:rPr>
        <w:rStyle w:val="19"/>
        <w:rFonts w:hint="default"/>
        <w:w w:val="90"/>
      </w:rPr>
      <w:t>Beijing International Standard united Certification Co.,Ltd.</w:t>
    </w:r>
    <w:r>
      <w:rPr>
        <w:rStyle w:val="19"/>
        <w:rFonts w:hint="default"/>
        <w:w w:val="90"/>
        <w:szCs w:val="21"/>
      </w:rPr>
      <w:t xml:space="preserve">  </w:t>
    </w:r>
    <w:r>
      <w:rPr>
        <w:rStyle w:val="19"/>
        <w:rFonts w:hint="default"/>
        <w:w w:val="90"/>
        <w:sz w:val="20"/>
      </w:rPr>
      <w:t xml:space="preserve"> </w:t>
    </w:r>
    <w:r>
      <w:rPr>
        <w:rStyle w:val="19"/>
        <w:rFonts w:hint="default"/>
        <w:w w:val="90"/>
      </w:rPr>
      <w:t xml:space="preserve">                   </w:t>
    </w:r>
  </w:p>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38DC"/>
    <w:rsid w:val="00004817"/>
    <w:rsid w:val="000146B2"/>
    <w:rsid w:val="00014A12"/>
    <w:rsid w:val="000214B6"/>
    <w:rsid w:val="00023330"/>
    <w:rsid w:val="0002531E"/>
    <w:rsid w:val="000277D0"/>
    <w:rsid w:val="0003138C"/>
    <w:rsid w:val="00032100"/>
    <w:rsid w:val="0003373A"/>
    <w:rsid w:val="00033BC0"/>
    <w:rsid w:val="00034576"/>
    <w:rsid w:val="00035FB9"/>
    <w:rsid w:val="000412F6"/>
    <w:rsid w:val="00045092"/>
    <w:rsid w:val="000510BA"/>
    <w:rsid w:val="0005199E"/>
    <w:rsid w:val="00052580"/>
    <w:rsid w:val="0005697E"/>
    <w:rsid w:val="000579CF"/>
    <w:rsid w:val="00060270"/>
    <w:rsid w:val="00061EE8"/>
    <w:rsid w:val="00061F6E"/>
    <w:rsid w:val="00082216"/>
    <w:rsid w:val="00082398"/>
    <w:rsid w:val="00083343"/>
    <w:rsid w:val="000849D2"/>
    <w:rsid w:val="00084DAD"/>
    <w:rsid w:val="000870FB"/>
    <w:rsid w:val="00092F91"/>
    <w:rsid w:val="00092FC8"/>
    <w:rsid w:val="00094791"/>
    <w:rsid w:val="000A067A"/>
    <w:rsid w:val="000A30F9"/>
    <w:rsid w:val="000A3C0F"/>
    <w:rsid w:val="000A5E44"/>
    <w:rsid w:val="000A6B86"/>
    <w:rsid w:val="000B1394"/>
    <w:rsid w:val="000B3731"/>
    <w:rsid w:val="000B40BD"/>
    <w:rsid w:val="000B6EAD"/>
    <w:rsid w:val="000C123B"/>
    <w:rsid w:val="000C25C3"/>
    <w:rsid w:val="000C2D5B"/>
    <w:rsid w:val="000C3052"/>
    <w:rsid w:val="000D4F09"/>
    <w:rsid w:val="000D5401"/>
    <w:rsid w:val="000D697A"/>
    <w:rsid w:val="000D6B2F"/>
    <w:rsid w:val="000D6F8E"/>
    <w:rsid w:val="000E2B69"/>
    <w:rsid w:val="000E355F"/>
    <w:rsid w:val="000E4402"/>
    <w:rsid w:val="000E7EF7"/>
    <w:rsid w:val="000F35F1"/>
    <w:rsid w:val="000F38E4"/>
    <w:rsid w:val="000F7D53"/>
    <w:rsid w:val="001022F1"/>
    <w:rsid w:val="001037D5"/>
    <w:rsid w:val="00106F20"/>
    <w:rsid w:val="001070F3"/>
    <w:rsid w:val="001076D1"/>
    <w:rsid w:val="00120749"/>
    <w:rsid w:val="00123A35"/>
    <w:rsid w:val="00124A78"/>
    <w:rsid w:val="00132572"/>
    <w:rsid w:val="00135F92"/>
    <w:rsid w:val="00136E61"/>
    <w:rsid w:val="00140192"/>
    <w:rsid w:val="00145688"/>
    <w:rsid w:val="001456CB"/>
    <w:rsid w:val="001462CD"/>
    <w:rsid w:val="00147922"/>
    <w:rsid w:val="00147EDB"/>
    <w:rsid w:val="0015649B"/>
    <w:rsid w:val="001564F9"/>
    <w:rsid w:val="0016112C"/>
    <w:rsid w:val="001662A1"/>
    <w:rsid w:val="001677C1"/>
    <w:rsid w:val="00170B6A"/>
    <w:rsid w:val="0017204F"/>
    <w:rsid w:val="00176572"/>
    <w:rsid w:val="00176B5D"/>
    <w:rsid w:val="00181F3C"/>
    <w:rsid w:val="001833DD"/>
    <w:rsid w:val="00183631"/>
    <w:rsid w:val="00187C5A"/>
    <w:rsid w:val="001904AA"/>
    <w:rsid w:val="001918ED"/>
    <w:rsid w:val="00192A7F"/>
    <w:rsid w:val="00192B8F"/>
    <w:rsid w:val="001940FC"/>
    <w:rsid w:val="00194D96"/>
    <w:rsid w:val="001972C0"/>
    <w:rsid w:val="001A2D7F"/>
    <w:rsid w:val="001A3DF8"/>
    <w:rsid w:val="001A572D"/>
    <w:rsid w:val="001A7826"/>
    <w:rsid w:val="001B324E"/>
    <w:rsid w:val="001B36F4"/>
    <w:rsid w:val="001B5E73"/>
    <w:rsid w:val="001B6887"/>
    <w:rsid w:val="001B6E5E"/>
    <w:rsid w:val="001B700E"/>
    <w:rsid w:val="001C0776"/>
    <w:rsid w:val="001C2BC9"/>
    <w:rsid w:val="001C34EA"/>
    <w:rsid w:val="001C39CB"/>
    <w:rsid w:val="001D1D7C"/>
    <w:rsid w:val="001D2736"/>
    <w:rsid w:val="001D4AD8"/>
    <w:rsid w:val="001D54FF"/>
    <w:rsid w:val="001D5787"/>
    <w:rsid w:val="001D585E"/>
    <w:rsid w:val="001D7FCA"/>
    <w:rsid w:val="001E1974"/>
    <w:rsid w:val="001E312D"/>
    <w:rsid w:val="001E72C1"/>
    <w:rsid w:val="001F71E8"/>
    <w:rsid w:val="00202BC2"/>
    <w:rsid w:val="00214113"/>
    <w:rsid w:val="00215081"/>
    <w:rsid w:val="00222532"/>
    <w:rsid w:val="00235ED5"/>
    <w:rsid w:val="00237445"/>
    <w:rsid w:val="00240501"/>
    <w:rsid w:val="00245047"/>
    <w:rsid w:val="00245CB6"/>
    <w:rsid w:val="00246063"/>
    <w:rsid w:val="00253CBF"/>
    <w:rsid w:val="00262DC0"/>
    <w:rsid w:val="002651A6"/>
    <w:rsid w:val="002715B5"/>
    <w:rsid w:val="00274A55"/>
    <w:rsid w:val="002760CB"/>
    <w:rsid w:val="0027659A"/>
    <w:rsid w:val="002769EB"/>
    <w:rsid w:val="0028195E"/>
    <w:rsid w:val="00282AB8"/>
    <w:rsid w:val="002945D8"/>
    <w:rsid w:val="0029464B"/>
    <w:rsid w:val="002973F0"/>
    <w:rsid w:val="002975C1"/>
    <w:rsid w:val="002A0E6E"/>
    <w:rsid w:val="002A33CC"/>
    <w:rsid w:val="002A4A4F"/>
    <w:rsid w:val="002A62D8"/>
    <w:rsid w:val="002B1808"/>
    <w:rsid w:val="002C1ACE"/>
    <w:rsid w:val="002C303F"/>
    <w:rsid w:val="002C3E0D"/>
    <w:rsid w:val="002C60B0"/>
    <w:rsid w:val="002D2DA4"/>
    <w:rsid w:val="002D41FB"/>
    <w:rsid w:val="002E0587"/>
    <w:rsid w:val="002E1E1D"/>
    <w:rsid w:val="002E38A4"/>
    <w:rsid w:val="002E72F8"/>
    <w:rsid w:val="002F030C"/>
    <w:rsid w:val="002F1DCE"/>
    <w:rsid w:val="002F4D1B"/>
    <w:rsid w:val="003006E2"/>
    <w:rsid w:val="003120F5"/>
    <w:rsid w:val="00317401"/>
    <w:rsid w:val="00317FAF"/>
    <w:rsid w:val="0032112D"/>
    <w:rsid w:val="00326FC1"/>
    <w:rsid w:val="00330DBC"/>
    <w:rsid w:val="00336040"/>
    <w:rsid w:val="00337922"/>
    <w:rsid w:val="00340867"/>
    <w:rsid w:val="00342857"/>
    <w:rsid w:val="00350CBB"/>
    <w:rsid w:val="00351CD4"/>
    <w:rsid w:val="003608CB"/>
    <w:rsid w:val="00360D60"/>
    <w:rsid w:val="003627B6"/>
    <w:rsid w:val="003675FE"/>
    <w:rsid w:val="003708D5"/>
    <w:rsid w:val="0037587D"/>
    <w:rsid w:val="0037782E"/>
    <w:rsid w:val="0038061A"/>
    <w:rsid w:val="0038063B"/>
    <w:rsid w:val="00380837"/>
    <w:rsid w:val="00382EDD"/>
    <w:rsid w:val="003836CA"/>
    <w:rsid w:val="00386A98"/>
    <w:rsid w:val="00392D5A"/>
    <w:rsid w:val="003947A2"/>
    <w:rsid w:val="003A1E9C"/>
    <w:rsid w:val="003A2B40"/>
    <w:rsid w:val="003A57BB"/>
    <w:rsid w:val="003A62C3"/>
    <w:rsid w:val="003A715C"/>
    <w:rsid w:val="003B0E41"/>
    <w:rsid w:val="003B63F4"/>
    <w:rsid w:val="003B686D"/>
    <w:rsid w:val="003B6EB8"/>
    <w:rsid w:val="003C2A32"/>
    <w:rsid w:val="003D1723"/>
    <w:rsid w:val="003D470D"/>
    <w:rsid w:val="003D6BE3"/>
    <w:rsid w:val="003E0E52"/>
    <w:rsid w:val="003E2C93"/>
    <w:rsid w:val="003F20A5"/>
    <w:rsid w:val="003F6D4B"/>
    <w:rsid w:val="00400994"/>
    <w:rsid w:val="00400B96"/>
    <w:rsid w:val="00401C89"/>
    <w:rsid w:val="00402125"/>
    <w:rsid w:val="00405AA6"/>
    <w:rsid w:val="00405D57"/>
    <w:rsid w:val="00405D5F"/>
    <w:rsid w:val="00410914"/>
    <w:rsid w:val="00413DEB"/>
    <w:rsid w:val="00415AA3"/>
    <w:rsid w:val="00420650"/>
    <w:rsid w:val="00420C60"/>
    <w:rsid w:val="00424601"/>
    <w:rsid w:val="004254A5"/>
    <w:rsid w:val="00425914"/>
    <w:rsid w:val="0043032D"/>
    <w:rsid w:val="00430432"/>
    <w:rsid w:val="00433759"/>
    <w:rsid w:val="0043494E"/>
    <w:rsid w:val="00435641"/>
    <w:rsid w:val="00437127"/>
    <w:rsid w:val="00440BBC"/>
    <w:rsid w:val="004414A5"/>
    <w:rsid w:val="00441B50"/>
    <w:rsid w:val="004428CE"/>
    <w:rsid w:val="00456064"/>
    <w:rsid w:val="004563CB"/>
    <w:rsid w:val="004565BC"/>
    <w:rsid w:val="00456697"/>
    <w:rsid w:val="00463AD4"/>
    <w:rsid w:val="00463F22"/>
    <w:rsid w:val="00465CFE"/>
    <w:rsid w:val="00465FE1"/>
    <w:rsid w:val="0046696A"/>
    <w:rsid w:val="00475491"/>
    <w:rsid w:val="004869FB"/>
    <w:rsid w:val="00491735"/>
    <w:rsid w:val="00493DC8"/>
    <w:rsid w:val="00494A46"/>
    <w:rsid w:val="004A1070"/>
    <w:rsid w:val="004A3578"/>
    <w:rsid w:val="004A4AF8"/>
    <w:rsid w:val="004A7106"/>
    <w:rsid w:val="004B217F"/>
    <w:rsid w:val="004B3E7F"/>
    <w:rsid w:val="004C07FE"/>
    <w:rsid w:val="004C3A73"/>
    <w:rsid w:val="004C5731"/>
    <w:rsid w:val="004C5BFE"/>
    <w:rsid w:val="004C78A9"/>
    <w:rsid w:val="004C7A45"/>
    <w:rsid w:val="004D3E4C"/>
    <w:rsid w:val="004D55E7"/>
    <w:rsid w:val="004D62EF"/>
    <w:rsid w:val="004D631F"/>
    <w:rsid w:val="004E1FC0"/>
    <w:rsid w:val="004E5609"/>
    <w:rsid w:val="004E61BC"/>
    <w:rsid w:val="004F185D"/>
    <w:rsid w:val="004F1F2A"/>
    <w:rsid w:val="004F3000"/>
    <w:rsid w:val="005052B3"/>
    <w:rsid w:val="005056ED"/>
    <w:rsid w:val="00505819"/>
    <w:rsid w:val="005064D2"/>
    <w:rsid w:val="00513B4A"/>
    <w:rsid w:val="00515C94"/>
    <w:rsid w:val="00517E4C"/>
    <w:rsid w:val="00521BB1"/>
    <w:rsid w:val="00521CF0"/>
    <w:rsid w:val="00521DAB"/>
    <w:rsid w:val="00527341"/>
    <w:rsid w:val="00531857"/>
    <w:rsid w:val="0053208B"/>
    <w:rsid w:val="005345E9"/>
    <w:rsid w:val="00534814"/>
    <w:rsid w:val="00536930"/>
    <w:rsid w:val="00541AE2"/>
    <w:rsid w:val="00544CA6"/>
    <w:rsid w:val="00546D5F"/>
    <w:rsid w:val="00552BDE"/>
    <w:rsid w:val="005566FC"/>
    <w:rsid w:val="005571F6"/>
    <w:rsid w:val="00560A2A"/>
    <w:rsid w:val="00564E53"/>
    <w:rsid w:val="00571FB2"/>
    <w:rsid w:val="00576C70"/>
    <w:rsid w:val="005818F3"/>
    <w:rsid w:val="00583277"/>
    <w:rsid w:val="00592922"/>
    <w:rsid w:val="00592C3E"/>
    <w:rsid w:val="00597617"/>
    <w:rsid w:val="005A000F"/>
    <w:rsid w:val="005B173D"/>
    <w:rsid w:val="005B6888"/>
    <w:rsid w:val="005C0F1E"/>
    <w:rsid w:val="005D1287"/>
    <w:rsid w:val="005D1D88"/>
    <w:rsid w:val="005D5B03"/>
    <w:rsid w:val="005D5F6F"/>
    <w:rsid w:val="005E29C1"/>
    <w:rsid w:val="005E4182"/>
    <w:rsid w:val="005F4B58"/>
    <w:rsid w:val="005F4B89"/>
    <w:rsid w:val="005F522D"/>
    <w:rsid w:val="005F6C65"/>
    <w:rsid w:val="005F6C93"/>
    <w:rsid w:val="00600F02"/>
    <w:rsid w:val="00601460"/>
    <w:rsid w:val="006014D4"/>
    <w:rsid w:val="0060444D"/>
    <w:rsid w:val="0061191A"/>
    <w:rsid w:val="00616BD6"/>
    <w:rsid w:val="00623037"/>
    <w:rsid w:val="00624222"/>
    <w:rsid w:val="00632DE1"/>
    <w:rsid w:val="00642776"/>
    <w:rsid w:val="00642D31"/>
    <w:rsid w:val="00643732"/>
    <w:rsid w:val="00644FE2"/>
    <w:rsid w:val="00645E5C"/>
    <w:rsid w:val="00645FB8"/>
    <w:rsid w:val="00651986"/>
    <w:rsid w:val="00652F53"/>
    <w:rsid w:val="00653DC7"/>
    <w:rsid w:val="006545E8"/>
    <w:rsid w:val="00660E81"/>
    <w:rsid w:val="00664736"/>
    <w:rsid w:val="00665980"/>
    <w:rsid w:val="006711B0"/>
    <w:rsid w:val="006744DC"/>
    <w:rsid w:val="0067640C"/>
    <w:rsid w:val="006836D9"/>
    <w:rsid w:val="00683BF6"/>
    <w:rsid w:val="0068548D"/>
    <w:rsid w:val="00691265"/>
    <w:rsid w:val="006946B4"/>
    <w:rsid w:val="00695256"/>
    <w:rsid w:val="00695570"/>
    <w:rsid w:val="006958B3"/>
    <w:rsid w:val="006969F1"/>
    <w:rsid w:val="00696AF1"/>
    <w:rsid w:val="006A3B31"/>
    <w:rsid w:val="006A68F3"/>
    <w:rsid w:val="006B0113"/>
    <w:rsid w:val="006B2AB0"/>
    <w:rsid w:val="006B2C63"/>
    <w:rsid w:val="006B39AA"/>
    <w:rsid w:val="006B4127"/>
    <w:rsid w:val="006B4E32"/>
    <w:rsid w:val="006B4F28"/>
    <w:rsid w:val="006C24BF"/>
    <w:rsid w:val="006C40B9"/>
    <w:rsid w:val="006C5B83"/>
    <w:rsid w:val="006D4DF7"/>
    <w:rsid w:val="006E4893"/>
    <w:rsid w:val="006E5BA5"/>
    <w:rsid w:val="006E6151"/>
    <w:rsid w:val="006E678B"/>
    <w:rsid w:val="006E762B"/>
    <w:rsid w:val="006F142F"/>
    <w:rsid w:val="0070367F"/>
    <w:rsid w:val="007042C6"/>
    <w:rsid w:val="00705251"/>
    <w:rsid w:val="00706392"/>
    <w:rsid w:val="00710655"/>
    <w:rsid w:val="00710688"/>
    <w:rsid w:val="00712F3C"/>
    <w:rsid w:val="00714FB1"/>
    <w:rsid w:val="007170AA"/>
    <w:rsid w:val="007175F5"/>
    <w:rsid w:val="00722B43"/>
    <w:rsid w:val="0072638A"/>
    <w:rsid w:val="00726642"/>
    <w:rsid w:val="00732B66"/>
    <w:rsid w:val="0073447C"/>
    <w:rsid w:val="007378E4"/>
    <w:rsid w:val="00737C8F"/>
    <w:rsid w:val="007406DE"/>
    <w:rsid w:val="00740E7F"/>
    <w:rsid w:val="00743D92"/>
    <w:rsid w:val="00743E79"/>
    <w:rsid w:val="00744BEA"/>
    <w:rsid w:val="00746E3A"/>
    <w:rsid w:val="00751532"/>
    <w:rsid w:val="00751C37"/>
    <w:rsid w:val="00754C46"/>
    <w:rsid w:val="0075769B"/>
    <w:rsid w:val="007618BC"/>
    <w:rsid w:val="00765D3B"/>
    <w:rsid w:val="00772340"/>
    <w:rsid w:val="007737BA"/>
    <w:rsid w:val="00773989"/>
    <w:rsid w:val="007757F3"/>
    <w:rsid w:val="007815DC"/>
    <w:rsid w:val="007839F5"/>
    <w:rsid w:val="00787C80"/>
    <w:rsid w:val="00790D5E"/>
    <w:rsid w:val="00790FC6"/>
    <w:rsid w:val="00795FA6"/>
    <w:rsid w:val="0079602E"/>
    <w:rsid w:val="007A47FB"/>
    <w:rsid w:val="007A6E97"/>
    <w:rsid w:val="007B0EA9"/>
    <w:rsid w:val="007B106B"/>
    <w:rsid w:val="007B275D"/>
    <w:rsid w:val="007B35C5"/>
    <w:rsid w:val="007B668F"/>
    <w:rsid w:val="007C21B9"/>
    <w:rsid w:val="007D3188"/>
    <w:rsid w:val="007D7A37"/>
    <w:rsid w:val="007E6AEB"/>
    <w:rsid w:val="007E6B6E"/>
    <w:rsid w:val="007E7C11"/>
    <w:rsid w:val="007F01EC"/>
    <w:rsid w:val="007F6A62"/>
    <w:rsid w:val="007F7DF2"/>
    <w:rsid w:val="008015B9"/>
    <w:rsid w:val="00803706"/>
    <w:rsid w:val="0080433F"/>
    <w:rsid w:val="008079FA"/>
    <w:rsid w:val="00810D58"/>
    <w:rsid w:val="00814047"/>
    <w:rsid w:val="00815AF5"/>
    <w:rsid w:val="008160E3"/>
    <w:rsid w:val="00821B77"/>
    <w:rsid w:val="008343CB"/>
    <w:rsid w:val="00834F70"/>
    <w:rsid w:val="00835B31"/>
    <w:rsid w:val="00850591"/>
    <w:rsid w:val="008549CE"/>
    <w:rsid w:val="008575F9"/>
    <w:rsid w:val="00860122"/>
    <w:rsid w:val="00860162"/>
    <w:rsid w:val="008638DE"/>
    <w:rsid w:val="00863B20"/>
    <w:rsid w:val="008646DE"/>
    <w:rsid w:val="00864902"/>
    <w:rsid w:val="00864BE7"/>
    <w:rsid w:val="00865200"/>
    <w:rsid w:val="00871695"/>
    <w:rsid w:val="00881290"/>
    <w:rsid w:val="00884594"/>
    <w:rsid w:val="00885631"/>
    <w:rsid w:val="00886006"/>
    <w:rsid w:val="00890397"/>
    <w:rsid w:val="00891C25"/>
    <w:rsid w:val="00894200"/>
    <w:rsid w:val="008973EE"/>
    <w:rsid w:val="008A5C1F"/>
    <w:rsid w:val="008A7C7E"/>
    <w:rsid w:val="008A7FB6"/>
    <w:rsid w:val="008B21BA"/>
    <w:rsid w:val="008B4EE2"/>
    <w:rsid w:val="008B68E5"/>
    <w:rsid w:val="008B7644"/>
    <w:rsid w:val="008C199E"/>
    <w:rsid w:val="008C1CA5"/>
    <w:rsid w:val="008C519F"/>
    <w:rsid w:val="008C5B6D"/>
    <w:rsid w:val="008D089D"/>
    <w:rsid w:val="008D2CA3"/>
    <w:rsid w:val="008E0E14"/>
    <w:rsid w:val="008E6B41"/>
    <w:rsid w:val="008E792C"/>
    <w:rsid w:val="008F0B04"/>
    <w:rsid w:val="008F4922"/>
    <w:rsid w:val="008F6788"/>
    <w:rsid w:val="008F7C55"/>
    <w:rsid w:val="00901BAF"/>
    <w:rsid w:val="0091272B"/>
    <w:rsid w:val="00914A79"/>
    <w:rsid w:val="00915512"/>
    <w:rsid w:val="00930694"/>
    <w:rsid w:val="00932193"/>
    <w:rsid w:val="00932BE6"/>
    <w:rsid w:val="0093521F"/>
    <w:rsid w:val="0093786C"/>
    <w:rsid w:val="00945677"/>
    <w:rsid w:val="00945EBD"/>
    <w:rsid w:val="0095571F"/>
    <w:rsid w:val="00955B84"/>
    <w:rsid w:val="0095689B"/>
    <w:rsid w:val="009619EF"/>
    <w:rsid w:val="0096227D"/>
    <w:rsid w:val="00962F78"/>
    <w:rsid w:val="00964CF5"/>
    <w:rsid w:val="00965A0E"/>
    <w:rsid w:val="0096609F"/>
    <w:rsid w:val="00970DA2"/>
    <w:rsid w:val="00971600"/>
    <w:rsid w:val="00972B2C"/>
    <w:rsid w:val="009769AA"/>
    <w:rsid w:val="00984342"/>
    <w:rsid w:val="00987B01"/>
    <w:rsid w:val="0099013A"/>
    <w:rsid w:val="009910C2"/>
    <w:rsid w:val="0099301F"/>
    <w:rsid w:val="00995C07"/>
    <w:rsid w:val="00996310"/>
    <w:rsid w:val="009969D2"/>
    <w:rsid w:val="009973B4"/>
    <w:rsid w:val="009A1279"/>
    <w:rsid w:val="009A4973"/>
    <w:rsid w:val="009A4B5C"/>
    <w:rsid w:val="009B3649"/>
    <w:rsid w:val="009B4D68"/>
    <w:rsid w:val="009B4FB3"/>
    <w:rsid w:val="009B6AB3"/>
    <w:rsid w:val="009B7EB8"/>
    <w:rsid w:val="009C131F"/>
    <w:rsid w:val="009C2CA5"/>
    <w:rsid w:val="009D1075"/>
    <w:rsid w:val="009D1A3F"/>
    <w:rsid w:val="009D2F66"/>
    <w:rsid w:val="009D57CF"/>
    <w:rsid w:val="009D7E70"/>
    <w:rsid w:val="009E035A"/>
    <w:rsid w:val="009E2238"/>
    <w:rsid w:val="009E30DA"/>
    <w:rsid w:val="009E3D68"/>
    <w:rsid w:val="009E461A"/>
    <w:rsid w:val="009E6193"/>
    <w:rsid w:val="009E7DD1"/>
    <w:rsid w:val="009F7BFC"/>
    <w:rsid w:val="009F7EED"/>
    <w:rsid w:val="00A0091F"/>
    <w:rsid w:val="00A0615F"/>
    <w:rsid w:val="00A06235"/>
    <w:rsid w:val="00A0721A"/>
    <w:rsid w:val="00A138EC"/>
    <w:rsid w:val="00A13A49"/>
    <w:rsid w:val="00A23822"/>
    <w:rsid w:val="00A277F2"/>
    <w:rsid w:val="00A3538B"/>
    <w:rsid w:val="00A378F6"/>
    <w:rsid w:val="00A41F32"/>
    <w:rsid w:val="00A4254F"/>
    <w:rsid w:val="00A4482F"/>
    <w:rsid w:val="00A50B4B"/>
    <w:rsid w:val="00A52368"/>
    <w:rsid w:val="00A54B81"/>
    <w:rsid w:val="00A61009"/>
    <w:rsid w:val="00A648EC"/>
    <w:rsid w:val="00A7519D"/>
    <w:rsid w:val="00A801DE"/>
    <w:rsid w:val="00A811EC"/>
    <w:rsid w:val="00A81FD7"/>
    <w:rsid w:val="00A824AF"/>
    <w:rsid w:val="00A8505F"/>
    <w:rsid w:val="00A90A22"/>
    <w:rsid w:val="00A969B9"/>
    <w:rsid w:val="00A97734"/>
    <w:rsid w:val="00AA1858"/>
    <w:rsid w:val="00AA7F40"/>
    <w:rsid w:val="00AB41FC"/>
    <w:rsid w:val="00AB7D2F"/>
    <w:rsid w:val="00AC24B1"/>
    <w:rsid w:val="00AC260E"/>
    <w:rsid w:val="00AD145D"/>
    <w:rsid w:val="00AD20E6"/>
    <w:rsid w:val="00AD3ACD"/>
    <w:rsid w:val="00AD4BB3"/>
    <w:rsid w:val="00AD6F34"/>
    <w:rsid w:val="00AE020D"/>
    <w:rsid w:val="00AE4607"/>
    <w:rsid w:val="00AF0AAB"/>
    <w:rsid w:val="00AF156F"/>
    <w:rsid w:val="00AF3B58"/>
    <w:rsid w:val="00AF616B"/>
    <w:rsid w:val="00B034AD"/>
    <w:rsid w:val="00B04169"/>
    <w:rsid w:val="00B0685B"/>
    <w:rsid w:val="00B14206"/>
    <w:rsid w:val="00B22D22"/>
    <w:rsid w:val="00B23030"/>
    <w:rsid w:val="00B237B9"/>
    <w:rsid w:val="00B23CAA"/>
    <w:rsid w:val="00B2489D"/>
    <w:rsid w:val="00B375D2"/>
    <w:rsid w:val="00B410EE"/>
    <w:rsid w:val="00B44881"/>
    <w:rsid w:val="00B63BD0"/>
    <w:rsid w:val="00B72906"/>
    <w:rsid w:val="00B73B0E"/>
    <w:rsid w:val="00B73EA8"/>
    <w:rsid w:val="00B75B23"/>
    <w:rsid w:val="00B8202D"/>
    <w:rsid w:val="00B82181"/>
    <w:rsid w:val="00B826F3"/>
    <w:rsid w:val="00B91271"/>
    <w:rsid w:val="00B91605"/>
    <w:rsid w:val="00B91895"/>
    <w:rsid w:val="00B929FD"/>
    <w:rsid w:val="00B94467"/>
    <w:rsid w:val="00B95B99"/>
    <w:rsid w:val="00B95F69"/>
    <w:rsid w:val="00B95F75"/>
    <w:rsid w:val="00BA3464"/>
    <w:rsid w:val="00BA4A2A"/>
    <w:rsid w:val="00BB6AD3"/>
    <w:rsid w:val="00BC0122"/>
    <w:rsid w:val="00BC16C1"/>
    <w:rsid w:val="00BC2015"/>
    <w:rsid w:val="00BC66FE"/>
    <w:rsid w:val="00BC71B0"/>
    <w:rsid w:val="00BD16AB"/>
    <w:rsid w:val="00BD4E08"/>
    <w:rsid w:val="00BD6DBC"/>
    <w:rsid w:val="00BE17FE"/>
    <w:rsid w:val="00BE363D"/>
    <w:rsid w:val="00BE3E2D"/>
    <w:rsid w:val="00BF4590"/>
    <w:rsid w:val="00BF597E"/>
    <w:rsid w:val="00C03098"/>
    <w:rsid w:val="00C046D1"/>
    <w:rsid w:val="00C10351"/>
    <w:rsid w:val="00C10EF3"/>
    <w:rsid w:val="00C14685"/>
    <w:rsid w:val="00C31C73"/>
    <w:rsid w:val="00C44328"/>
    <w:rsid w:val="00C5112E"/>
    <w:rsid w:val="00C513CB"/>
    <w:rsid w:val="00C51A36"/>
    <w:rsid w:val="00C548BE"/>
    <w:rsid w:val="00C55228"/>
    <w:rsid w:val="00C62031"/>
    <w:rsid w:val="00C67E19"/>
    <w:rsid w:val="00C67E47"/>
    <w:rsid w:val="00C70284"/>
    <w:rsid w:val="00C71E85"/>
    <w:rsid w:val="00C723C8"/>
    <w:rsid w:val="00C73C26"/>
    <w:rsid w:val="00C745AF"/>
    <w:rsid w:val="00C750BE"/>
    <w:rsid w:val="00C76A3E"/>
    <w:rsid w:val="00C81E93"/>
    <w:rsid w:val="00C86F9B"/>
    <w:rsid w:val="00C87FEE"/>
    <w:rsid w:val="00C90930"/>
    <w:rsid w:val="00C9113A"/>
    <w:rsid w:val="00C920A9"/>
    <w:rsid w:val="00C93340"/>
    <w:rsid w:val="00CB0154"/>
    <w:rsid w:val="00CB0D49"/>
    <w:rsid w:val="00CB127F"/>
    <w:rsid w:val="00CB260B"/>
    <w:rsid w:val="00CB3729"/>
    <w:rsid w:val="00CB43FE"/>
    <w:rsid w:val="00CB49F0"/>
    <w:rsid w:val="00CC2A01"/>
    <w:rsid w:val="00CC6864"/>
    <w:rsid w:val="00CD394A"/>
    <w:rsid w:val="00CD6C83"/>
    <w:rsid w:val="00CE0AA5"/>
    <w:rsid w:val="00CE2A9E"/>
    <w:rsid w:val="00CE315A"/>
    <w:rsid w:val="00CE4B8A"/>
    <w:rsid w:val="00CE7BE1"/>
    <w:rsid w:val="00CE7F7F"/>
    <w:rsid w:val="00CF1062"/>
    <w:rsid w:val="00CF147A"/>
    <w:rsid w:val="00CF1726"/>
    <w:rsid w:val="00CF5473"/>
    <w:rsid w:val="00CF5717"/>
    <w:rsid w:val="00CF5B83"/>
    <w:rsid w:val="00CF6C5C"/>
    <w:rsid w:val="00CF7295"/>
    <w:rsid w:val="00D004F0"/>
    <w:rsid w:val="00D06F59"/>
    <w:rsid w:val="00D14BD7"/>
    <w:rsid w:val="00D209B7"/>
    <w:rsid w:val="00D21AF9"/>
    <w:rsid w:val="00D3392D"/>
    <w:rsid w:val="00D34A3D"/>
    <w:rsid w:val="00D34C3B"/>
    <w:rsid w:val="00D379ED"/>
    <w:rsid w:val="00D37D1B"/>
    <w:rsid w:val="00D41F5E"/>
    <w:rsid w:val="00D429D7"/>
    <w:rsid w:val="00D42D53"/>
    <w:rsid w:val="00D55E69"/>
    <w:rsid w:val="00D562F6"/>
    <w:rsid w:val="00D7313F"/>
    <w:rsid w:val="00D74FBF"/>
    <w:rsid w:val="00D7717E"/>
    <w:rsid w:val="00D80770"/>
    <w:rsid w:val="00D82AE9"/>
    <w:rsid w:val="00D83050"/>
    <w:rsid w:val="00D8388C"/>
    <w:rsid w:val="00D90417"/>
    <w:rsid w:val="00D905B1"/>
    <w:rsid w:val="00D922EF"/>
    <w:rsid w:val="00D94B75"/>
    <w:rsid w:val="00D96826"/>
    <w:rsid w:val="00D97182"/>
    <w:rsid w:val="00DA0DF0"/>
    <w:rsid w:val="00DA1393"/>
    <w:rsid w:val="00DB1D00"/>
    <w:rsid w:val="00DC61A0"/>
    <w:rsid w:val="00DD10DC"/>
    <w:rsid w:val="00DD11F9"/>
    <w:rsid w:val="00DD1C8E"/>
    <w:rsid w:val="00DD1D21"/>
    <w:rsid w:val="00DD2028"/>
    <w:rsid w:val="00DD644F"/>
    <w:rsid w:val="00DD7876"/>
    <w:rsid w:val="00DE146D"/>
    <w:rsid w:val="00DE2D80"/>
    <w:rsid w:val="00DE339A"/>
    <w:rsid w:val="00DE6FCE"/>
    <w:rsid w:val="00DF1C4B"/>
    <w:rsid w:val="00DF6570"/>
    <w:rsid w:val="00DF76DB"/>
    <w:rsid w:val="00E00EC5"/>
    <w:rsid w:val="00E02804"/>
    <w:rsid w:val="00E038E4"/>
    <w:rsid w:val="00E0475D"/>
    <w:rsid w:val="00E0521C"/>
    <w:rsid w:val="00E070B7"/>
    <w:rsid w:val="00E07DDE"/>
    <w:rsid w:val="00E11CD7"/>
    <w:rsid w:val="00E13D9A"/>
    <w:rsid w:val="00E14BA9"/>
    <w:rsid w:val="00E16755"/>
    <w:rsid w:val="00E221C3"/>
    <w:rsid w:val="00E31F2E"/>
    <w:rsid w:val="00E32D13"/>
    <w:rsid w:val="00E357F3"/>
    <w:rsid w:val="00E43822"/>
    <w:rsid w:val="00E43A35"/>
    <w:rsid w:val="00E457E0"/>
    <w:rsid w:val="00E45C87"/>
    <w:rsid w:val="00E54035"/>
    <w:rsid w:val="00E5717A"/>
    <w:rsid w:val="00E62996"/>
    <w:rsid w:val="00E63714"/>
    <w:rsid w:val="00E64A51"/>
    <w:rsid w:val="00E6527A"/>
    <w:rsid w:val="00E676F9"/>
    <w:rsid w:val="00E67C09"/>
    <w:rsid w:val="00E910C0"/>
    <w:rsid w:val="00E954BE"/>
    <w:rsid w:val="00E95637"/>
    <w:rsid w:val="00E97424"/>
    <w:rsid w:val="00EA55F7"/>
    <w:rsid w:val="00EA5870"/>
    <w:rsid w:val="00EB0164"/>
    <w:rsid w:val="00EB2106"/>
    <w:rsid w:val="00EB5DF5"/>
    <w:rsid w:val="00EB65F7"/>
    <w:rsid w:val="00EC42F5"/>
    <w:rsid w:val="00ED0F62"/>
    <w:rsid w:val="00ED49CB"/>
    <w:rsid w:val="00EE5CD9"/>
    <w:rsid w:val="00EE6190"/>
    <w:rsid w:val="00EE6713"/>
    <w:rsid w:val="00EE6F50"/>
    <w:rsid w:val="00EF29B6"/>
    <w:rsid w:val="00EF3569"/>
    <w:rsid w:val="00EF36E7"/>
    <w:rsid w:val="00F06B25"/>
    <w:rsid w:val="00F06D09"/>
    <w:rsid w:val="00F079BB"/>
    <w:rsid w:val="00F11201"/>
    <w:rsid w:val="00F115BF"/>
    <w:rsid w:val="00F14D99"/>
    <w:rsid w:val="00F2038C"/>
    <w:rsid w:val="00F25AFF"/>
    <w:rsid w:val="00F31E8A"/>
    <w:rsid w:val="00F32CB9"/>
    <w:rsid w:val="00F33729"/>
    <w:rsid w:val="00F3372A"/>
    <w:rsid w:val="00F35CD7"/>
    <w:rsid w:val="00F3666E"/>
    <w:rsid w:val="00F36BE9"/>
    <w:rsid w:val="00F377A9"/>
    <w:rsid w:val="00F41617"/>
    <w:rsid w:val="00F42776"/>
    <w:rsid w:val="00F44D4E"/>
    <w:rsid w:val="00F47878"/>
    <w:rsid w:val="00F55DB9"/>
    <w:rsid w:val="00F606E1"/>
    <w:rsid w:val="00F66C77"/>
    <w:rsid w:val="00F6739D"/>
    <w:rsid w:val="00F70253"/>
    <w:rsid w:val="00F756B1"/>
    <w:rsid w:val="00F76276"/>
    <w:rsid w:val="00F83639"/>
    <w:rsid w:val="00F83EB6"/>
    <w:rsid w:val="00F840C3"/>
    <w:rsid w:val="00F856F5"/>
    <w:rsid w:val="00F8598C"/>
    <w:rsid w:val="00F907ED"/>
    <w:rsid w:val="00F956F5"/>
    <w:rsid w:val="00F97505"/>
    <w:rsid w:val="00FA0833"/>
    <w:rsid w:val="00FA2988"/>
    <w:rsid w:val="00FA350D"/>
    <w:rsid w:val="00FB03C3"/>
    <w:rsid w:val="00FB150B"/>
    <w:rsid w:val="00FB5904"/>
    <w:rsid w:val="00FB5A65"/>
    <w:rsid w:val="00FB6C45"/>
    <w:rsid w:val="00FC01AB"/>
    <w:rsid w:val="00FC5A11"/>
    <w:rsid w:val="00FD0A28"/>
    <w:rsid w:val="00FD2869"/>
    <w:rsid w:val="00FD29DC"/>
    <w:rsid w:val="00FD5EE5"/>
    <w:rsid w:val="00FD72A6"/>
    <w:rsid w:val="00FD7D63"/>
    <w:rsid w:val="00FE09C9"/>
    <w:rsid w:val="00FE3DB1"/>
    <w:rsid w:val="00FE62BD"/>
    <w:rsid w:val="0AF30CFB"/>
    <w:rsid w:val="108219C2"/>
    <w:rsid w:val="21CA7F84"/>
    <w:rsid w:val="36D7376E"/>
    <w:rsid w:val="4FF0324F"/>
    <w:rsid w:val="5EA12B9A"/>
    <w:rsid w:val="69B95B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link w:val="2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rFonts w:ascii="Times New Roman" w:hAnsi="Times New Roman" w:eastAsia="宋体" w:cs="Times New Roman"/>
      <w:sz w:val="24"/>
      <w:szCs w:val="24"/>
      <w:lang w:val="en-US" w:eastAsia="zh-CN" w:bidi="ar-SA"/>
    </w:rPr>
  </w:style>
  <w:style w:type="paragraph" w:styleId="3">
    <w:name w:val="Body Text Indent"/>
    <w:basedOn w:val="1"/>
    <w:qFormat/>
    <w:uiPriority w:val="0"/>
    <w:pPr>
      <w:spacing w:after="120"/>
      <w:ind w:left="420" w:leftChars="200"/>
    </w:pPr>
    <w:rPr>
      <w:rFonts w:ascii="Calibri" w:hAnsi="Calibri" w:eastAsia="宋体" w:cs="Times New Roman"/>
      <w:sz w:val="24"/>
      <w:szCs w:val="24"/>
      <w:lang w:val="en-US" w:eastAsia="zh-CN" w:bidi="ar-SA"/>
    </w:rPr>
  </w:style>
  <w:style w:type="paragraph" w:styleId="5">
    <w:name w:val="Normal Indent"/>
    <w:basedOn w:val="1"/>
    <w:qFormat/>
    <w:uiPriority w:val="0"/>
    <w:pPr>
      <w:adjustRightInd w:val="0"/>
      <w:spacing w:line="360" w:lineRule="atLeast"/>
      <w:ind w:left="480"/>
      <w:textAlignment w:val="baseline"/>
    </w:pPr>
    <w:rPr>
      <w:kern w:val="0"/>
    </w:rPr>
  </w:style>
  <w:style w:type="paragraph" w:styleId="6">
    <w:name w:val="Body Text"/>
    <w:basedOn w:val="1"/>
    <w:link w:val="23"/>
    <w:unhideWhenUsed/>
    <w:qFormat/>
    <w:uiPriority w:val="99"/>
    <w:pPr>
      <w:spacing w:line="420" w:lineRule="exact"/>
    </w:pPr>
    <w:rPr>
      <w:sz w:val="24"/>
    </w:rPr>
  </w:style>
  <w:style w:type="paragraph" w:styleId="7">
    <w:name w:val="Plain Text"/>
    <w:basedOn w:val="1"/>
    <w:link w:val="24"/>
    <w:qFormat/>
    <w:uiPriority w:val="0"/>
    <w:rPr>
      <w:rFonts w:ascii="宋体" w:hAnsi="Courier New"/>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link w:val="25"/>
    <w:qFormat/>
    <w:uiPriority w:val="0"/>
    <w:pPr>
      <w:widowControl/>
      <w:jc w:val="center"/>
    </w:pPr>
    <w:rPr>
      <w:rFonts w:ascii="Book Antiqua" w:hAnsi="Book Antiqua"/>
      <w:b/>
      <w:kern w:val="0"/>
      <w:sz w:val="31"/>
      <w:szCs w:val="31"/>
      <w:u w:val="single"/>
      <w:lang w:eastAsia="en-U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表格文字"/>
    <w:basedOn w:val="1"/>
    <w:qFormat/>
    <w:uiPriority w:val="0"/>
    <w:pPr>
      <w:spacing w:before="25" w:after="25"/>
    </w:pPr>
    <w:rPr>
      <w:bCs/>
      <w:spacing w:val="10"/>
    </w:rPr>
  </w:style>
  <w:style w:type="character" w:customStyle="1" w:styleId="16">
    <w:name w:val="页眉 Char"/>
    <w:basedOn w:val="14"/>
    <w:link w:val="10"/>
    <w:qFormat/>
    <w:uiPriority w:val="0"/>
    <w:rPr>
      <w:rFonts w:ascii="Times New Roman" w:hAnsi="Times New Roman" w:eastAsia="宋体" w:cs="Times New Roman"/>
      <w:sz w:val="18"/>
      <w:szCs w:val="18"/>
    </w:rPr>
  </w:style>
  <w:style w:type="character" w:customStyle="1" w:styleId="17">
    <w:name w:val="页脚 Char"/>
    <w:basedOn w:val="14"/>
    <w:link w:val="9"/>
    <w:qFormat/>
    <w:uiPriority w:val="99"/>
    <w:rPr>
      <w:rFonts w:ascii="Times New Roman" w:hAnsi="Times New Roman" w:eastAsia="宋体" w:cs="Times New Roman"/>
      <w:sz w:val="18"/>
      <w:szCs w:val="18"/>
    </w:rPr>
  </w:style>
  <w:style w:type="character" w:customStyle="1" w:styleId="18">
    <w:name w:val="批注框文本 Char"/>
    <w:basedOn w:val="14"/>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character" w:customStyle="1" w:styleId="20">
    <w:name w:val="fontstyle01"/>
    <w:basedOn w:val="14"/>
    <w:uiPriority w:val="0"/>
    <w:rPr>
      <w:rFonts w:hint="eastAsia" w:ascii="宋体" w:hAnsi="宋体" w:eastAsia="宋体"/>
      <w:color w:val="000000"/>
      <w:sz w:val="24"/>
      <w:szCs w:val="24"/>
    </w:rPr>
  </w:style>
  <w:style w:type="character" w:customStyle="1" w:styleId="21">
    <w:name w:val="fontstyle21"/>
    <w:basedOn w:val="14"/>
    <w:qFormat/>
    <w:uiPriority w:val="0"/>
    <w:rPr>
      <w:rFonts w:hint="default" w:ascii="Times New Roman" w:hAnsi="Times New Roman" w:cs="Times New Roman"/>
      <w:color w:val="000000"/>
      <w:sz w:val="24"/>
      <w:szCs w:val="24"/>
    </w:rPr>
  </w:style>
  <w:style w:type="character" w:customStyle="1" w:styleId="22">
    <w:name w:val="标题 2 Char"/>
    <w:basedOn w:val="14"/>
    <w:link w:val="4"/>
    <w:uiPriority w:val="9"/>
    <w:rPr>
      <w:rFonts w:asciiTheme="majorHAnsi" w:hAnsiTheme="majorHAnsi" w:eastAsiaTheme="majorEastAsia" w:cstheme="majorBidi"/>
      <w:b/>
      <w:bCs/>
      <w:kern w:val="2"/>
      <w:sz w:val="32"/>
      <w:szCs w:val="32"/>
    </w:rPr>
  </w:style>
  <w:style w:type="character" w:customStyle="1" w:styleId="23">
    <w:name w:val="正文文本 Char"/>
    <w:basedOn w:val="14"/>
    <w:link w:val="6"/>
    <w:uiPriority w:val="99"/>
    <w:rPr>
      <w:rFonts w:ascii="Times New Roman" w:hAnsi="Times New Roman" w:eastAsia="宋体" w:cs="Times New Roman"/>
      <w:kern w:val="2"/>
      <w:sz w:val="24"/>
    </w:rPr>
  </w:style>
  <w:style w:type="character" w:customStyle="1" w:styleId="24">
    <w:name w:val="纯文本 Char"/>
    <w:basedOn w:val="14"/>
    <w:link w:val="7"/>
    <w:uiPriority w:val="0"/>
    <w:rPr>
      <w:rFonts w:ascii="宋体" w:hAnsi="Courier New" w:eastAsia="宋体" w:cs="Times New Roman"/>
      <w:kern w:val="2"/>
      <w:sz w:val="21"/>
    </w:rPr>
  </w:style>
  <w:style w:type="character" w:customStyle="1" w:styleId="25">
    <w:name w:val="标题 Char"/>
    <w:basedOn w:val="14"/>
    <w:link w:val="11"/>
    <w:qFormat/>
    <w:uiPriority w:val="0"/>
    <w:rPr>
      <w:rFonts w:ascii="Book Antiqua" w:hAnsi="Book Antiqua" w:eastAsia="宋体" w:cs="Times New Roman"/>
      <w:b/>
      <w:sz w:val="31"/>
      <w:szCs w:val="31"/>
      <w:u w:val="single"/>
      <w:lang w:eastAsia="en-US"/>
    </w:rPr>
  </w:style>
  <w:style w:type="paragraph" w:styleId="26">
    <w:name w:val="List Paragraph"/>
    <w:basedOn w:val="1"/>
    <w:unhideWhenUsed/>
    <w:qFormat/>
    <w:uiPriority w:val="99"/>
    <w:pPr>
      <w:ind w:firstLine="420" w:firstLineChars="200"/>
    </w:pPr>
  </w:style>
  <w:style w:type="paragraph" w:customStyle="1" w:styleId="27">
    <w:name w:val="东方正文"/>
    <w:basedOn w:val="1"/>
    <w:qFormat/>
    <w:uiPriority w:val="0"/>
    <w:pPr>
      <w:spacing w:line="400" w:lineRule="exact"/>
      <w:ind w:left="284" w:right="284"/>
    </w:pPr>
    <w:rPr>
      <w:sz w:val="24"/>
    </w:rPr>
  </w:style>
  <w:style w:type="paragraph" w:customStyle="1" w:styleId="2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1124</Words>
  <Characters>6408</Characters>
  <Lines>53</Lines>
  <Paragraphs>15</Paragraphs>
  <TotalTime>1</TotalTime>
  <ScaleCrop>false</ScaleCrop>
  <LinksUpToDate>false</LinksUpToDate>
  <CharactersWithSpaces>7517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2021-08-19T10:17:31Z</dcterms:modified>
  <cp:revision>1063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613C0CE86BAF4367A012EA383E43C68D</vt:lpwstr>
  </property>
</Properties>
</file>