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ascii="宋体" w:hAnsi="宋体" w:cs="宋体"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-760730</wp:posOffset>
            </wp:positionH>
            <wp:positionV relativeFrom="paragraph">
              <wp:posOffset>-794385</wp:posOffset>
            </wp:positionV>
            <wp:extent cx="7357745" cy="10206990"/>
            <wp:effectExtent l="0" t="0" r="8255" b="3810"/>
            <wp:wrapNone/>
            <wp:docPr id="2" name="图片 2" descr="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57745" cy="1020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0103-2019-2021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陕西福兰特汽车标准件有限公司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质量管理部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刘娜娜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抽查质量管理部规格M14*1.5-6g  T、Z编号H1415-45螺纹环规的计量确认间隔未实施评审并作出规定。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GB/T19022标准条款7.1.2 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482" w:firstLineChars="30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2021.8.12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技术部负责规定螺纹环规的计量确认间隔，质量管理部负责组织评审。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措施有效，同意关闭。</w:t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39C32B0"/>
    <w:rsid w:val="69AF5808"/>
    <w:rsid w:val="6A283E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1</TotalTime>
  <ScaleCrop>false</ScaleCrop>
  <LinksUpToDate>false</LinksUpToDate>
  <CharactersWithSpaces>304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2021-08-12T23:12:26Z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8BA39BCC19824B578D30BB69BA7C6D6F</vt:lpwstr>
  </property>
</Properties>
</file>