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950"/>
        <w:gridCol w:w="11206"/>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7"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950"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1206" w:type="dxa"/>
            <w:vAlign w:val="center"/>
          </w:tcPr>
          <w:p>
            <w:pPr>
              <w:spacing w:line="360" w:lineRule="auto"/>
              <w:rPr>
                <w:rFonts w:ascii="宋体" w:hAnsi="宋体" w:cs="宋体"/>
                <w:szCs w:val="21"/>
              </w:rPr>
            </w:pPr>
            <w:r>
              <w:rPr>
                <w:rFonts w:hint="eastAsia" w:ascii="宋体" w:hAnsi="宋体" w:cs="宋体"/>
                <w:szCs w:val="21"/>
              </w:rPr>
              <w:t>受审核部门：管理层                        总经理：吴承灿                   管理者代表：孙建新</w:t>
            </w:r>
            <w:r>
              <w:rPr>
                <w:rFonts w:hint="eastAsia" w:ascii="宋体" w:hAnsi="宋体"/>
                <w:bCs/>
                <w:szCs w:val="21"/>
              </w:rPr>
              <w:t xml:space="preserve">  </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7" w:type="dxa"/>
            <w:vMerge w:val="continue"/>
            <w:vAlign w:val="center"/>
          </w:tcPr>
          <w:p>
            <w:pPr>
              <w:spacing w:line="360" w:lineRule="auto"/>
              <w:rPr>
                <w:rFonts w:ascii="宋体" w:hAnsi="宋体" w:cs="宋体"/>
                <w:szCs w:val="21"/>
              </w:rPr>
            </w:pPr>
          </w:p>
        </w:tc>
        <w:tc>
          <w:tcPr>
            <w:tcW w:w="950" w:type="dxa"/>
            <w:vMerge w:val="continue"/>
            <w:vAlign w:val="center"/>
          </w:tcPr>
          <w:p>
            <w:pPr>
              <w:spacing w:line="360" w:lineRule="auto"/>
              <w:rPr>
                <w:rFonts w:ascii="宋体" w:hAnsi="宋体" w:cs="宋体"/>
                <w:szCs w:val="21"/>
              </w:rPr>
            </w:pPr>
          </w:p>
        </w:tc>
        <w:tc>
          <w:tcPr>
            <w:tcW w:w="11206" w:type="dxa"/>
            <w:vAlign w:val="center"/>
          </w:tcPr>
          <w:p>
            <w:pPr>
              <w:spacing w:line="360" w:lineRule="auto"/>
              <w:rPr>
                <w:rFonts w:hint="eastAsia" w:ascii="宋体" w:hAnsi="宋体" w:eastAsia="宋体" w:cs="宋体"/>
                <w:szCs w:val="21"/>
                <w:lang w:eastAsia="zh-CN"/>
              </w:rPr>
            </w:pPr>
            <w:r>
              <w:rPr>
                <w:rFonts w:hint="eastAsia" w:ascii="宋体" w:hAnsi="宋体" w:cs="宋体"/>
                <w:szCs w:val="21"/>
              </w:rPr>
              <w:t>审核员：李俐                                         审核时间：202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.1</w:t>
            </w:r>
            <w:r>
              <w:rPr>
                <w:rFonts w:hint="eastAsia" w:ascii="宋体" w:hAnsi="宋体" w:cs="宋体"/>
                <w:szCs w:val="21"/>
                <w:lang w:val="en-US" w:eastAsia="zh-CN"/>
              </w:rPr>
              <w:t>4</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907" w:type="dxa"/>
            <w:vMerge w:val="continue"/>
            <w:vAlign w:val="center"/>
          </w:tcPr>
          <w:p>
            <w:pPr>
              <w:spacing w:line="360" w:lineRule="auto"/>
              <w:rPr>
                <w:rFonts w:ascii="宋体" w:hAnsi="宋体" w:cs="宋体"/>
                <w:szCs w:val="21"/>
              </w:rPr>
            </w:pPr>
          </w:p>
        </w:tc>
        <w:tc>
          <w:tcPr>
            <w:tcW w:w="950" w:type="dxa"/>
            <w:vMerge w:val="continue"/>
            <w:vAlign w:val="center"/>
          </w:tcPr>
          <w:p>
            <w:pPr>
              <w:spacing w:line="360" w:lineRule="auto"/>
              <w:rPr>
                <w:rFonts w:ascii="宋体" w:hAnsi="宋体" w:cs="宋体"/>
                <w:szCs w:val="21"/>
              </w:rPr>
            </w:pPr>
          </w:p>
        </w:tc>
        <w:tc>
          <w:tcPr>
            <w:tcW w:w="11206" w:type="dxa"/>
            <w:vAlign w:val="center"/>
          </w:tcPr>
          <w:p>
            <w:pPr>
              <w:snapToGrid w:val="0"/>
              <w:spacing w:line="360" w:lineRule="auto"/>
            </w:pPr>
            <w:r>
              <w:rPr>
                <w:rFonts w:hint="eastAsia"/>
              </w:rPr>
              <w:t>审核条款：</w:t>
            </w:r>
          </w:p>
          <w:p>
            <w:pPr>
              <w:tabs>
                <w:tab w:val="left" w:pos="709"/>
              </w:tabs>
              <w:spacing w:line="360" w:lineRule="auto"/>
              <w:ind w:right="57"/>
              <w:jc w:val="left"/>
              <w:rPr>
                <w:rFonts w:hint="eastAsia"/>
                <w:sz w:val="21"/>
                <w:szCs w:val="21"/>
              </w:rPr>
            </w:pPr>
            <w:r>
              <w:rPr>
                <w:rFonts w:hint="eastAsia"/>
                <w:sz w:val="21"/>
                <w:szCs w:val="21"/>
              </w:rPr>
              <w:t>EMS：4.1</w:t>
            </w:r>
            <w:r>
              <w:rPr>
                <w:rFonts w:hint="eastAsia"/>
                <w:sz w:val="21"/>
                <w:szCs w:val="21"/>
                <w:lang w:eastAsia="zh-CN"/>
              </w:rPr>
              <w:t>、</w:t>
            </w:r>
            <w:r>
              <w:rPr>
                <w:rFonts w:hint="eastAsia"/>
                <w:sz w:val="21"/>
                <w:szCs w:val="21"/>
              </w:rPr>
              <w:t xml:space="preserve"> 4.2 </w:t>
            </w:r>
            <w:r>
              <w:rPr>
                <w:rFonts w:hint="eastAsia"/>
                <w:sz w:val="21"/>
                <w:szCs w:val="21"/>
                <w:lang w:eastAsia="zh-CN"/>
              </w:rPr>
              <w:t>、</w:t>
            </w:r>
            <w:r>
              <w:rPr>
                <w:rFonts w:hint="eastAsia"/>
                <w:sz w:val="21"/>
                <w:szCs w:val="21"/>
              </w:rPr>
              <w:t xml:space="preserve">4.3 </w:t>
            </w:r>
            <w:r>
              <w:rPr>
                <w:rFonts w:hint="eastAsia"/>
                <w:sz w:val="21"/>
                <w:szCs w:val="21"/>
                <w:lang w:eastAsia="zh-CN"/>
              </w:rPr>
              <w:t>、</w:t>
            </w:r>
            <w:r>
              <w:rPr>
                <w:rFonts w:hint="eastAsia"/>
                <w:sz w:val="21"/>
                <w:szCs w:val="21"/>
              </w:rPr>
              <w:t>4.4</w:t>
            </w:r>
            <w:r>
              <w:rPr>
                <w:rFonts w:hint="eastAsia"/>
                <w:sz w:val="21"/>
                <w:szCs w:val="21"/>
                <w:lang w:eastAsia="zh-CN"/>
              </w:rPr>
              <w:t>、</w:t>
            </w:r>
            <w:r>
              <w:rPr>
                <w:rFonts w:hint="eastAsia"/>
                <w:sz w:val="21"/>
                <w:szCs w:val="21"/>
              </w:rPr>
              <w:t xml:space="preserve"> 5.1 </w:t>
            </w:r>
            <w:r>
              <w:rPr>
                <w:rFonts w:hint="eastAsia"/>
                <w:sz w:val="21"/>
                <w:szCs w:val="21"/>
                <w:lang w:eastAsia="zh-CN"/>
              </w:rPr>
              <w:t>、</w:t>
            </w:r>
            <w:r>
              <w:rPr>
                <w:rFonts w:hint="eastAsia"/>
                <w:sz w:val="21"/>
                <w:szCs w:val="21"/>
              </w:rPr>
              <w:t xml:space="preserve">5.2 </w:t>
            </w:r>
            <w:r>
              <w:rPr>
                <w:rFonts w:hint="eastAsia"/>
                <w:sz w:val="21"/>
                <w:szCs w:val="21"/>
                <w:lang w:eastAsia="zh-CN"/>
              </w:rPr>
              <w:t>、</w:t>
            </w:r>
            <w:r>
              <w:rPr>
                <w:rFonts w:hint="eastAsia"/>
                <w:sz w:val="21"/>
                <w:szCs w:val="21"/>
              </w:rPr>
              <w:t>5.3</w:t>
            </w:r>
            <w:r>
              <w:rPr>
                <w:rFonts w:hint="eastAsia"/>
                <w:sz w:val="21"/>
                <w:szCs w:val="21"/>
                <w:lang w:eastAsia="zh-CN"/>
              </w:rPr>
              <w:t>、</w:t>
            </w:r>
            <w:r>
              <w:rPr>
                <w:rFonts w:hint="eastAsia"/>
                <w:sz w:val="21"/>
                <w:szCs w:val="21"/>
              </w:rPr>
              <w:t xml:space="preserve"> 6.1</w:t>
            </w:r>
            <w:r>
              <w:rPr>
                <w:rFonts w:hint="eastAsia"/>
                <w:sz w:val="21"/>
                <w:szCs w:val="21"/>
                <w:lang w:eastAsia="zh-CN"/>
              </w:rPr>
              <w:t>、</w:t>
            </w:r>
            <w:r>
              <w:rPr>
                <w:rFonts w:hint="eastAsia"/>
                <w:sz w:val="21"/>
                <w:szCs w:val="21"/>
              </w:rPr>
              <w:t xml:space="preserve"> 6.2</w:t>
            </w:r>
            <w:r>
              <w:rPr>
                <w:rFonts w:hint="eastAsia"/>
                <w:sz w:val="21"/>
                <w:szCs w:val="21"/>
                <w:lang w:eastAsia="zh-CN"/>
              </w:rPr>
              <w:t>、</w:t>
            </w:r>
            <w:r>
              <w:rPr>
                <w:rFonts w:hint="eastAsia"/>
                <w:sz w:val="21"/>
                <w:szCs w:val="21"/>
              </w:rPr>
              <w:t xml:space="preserve"> 7.1</w:t>
            </w:r>
            <w:r>
              <w:rPr>
                <w:rFonts w:hint="eastAsia"/>
                <w:sz w:val="21"/>
                <w:szCs w:val="21"/>
                <w:lang w:eastAsia="zh-CN"/>
              </w:rPr>
              <w:t>、</w:t>
            </w:r>
            <w:r>
              <w:rPr>
                <w:rFonts w:hint="eastAsia"/>
                <w:sz w:val="21"/>
                <w:szCs w:val="21"/>
              </w:rPr>
              <w:t xml:space="preserve"> 7.4</w:t>
            </w:r>
            <w:r>
              <w:rPr>
                <w:rFonts w:hint="eastAsia"/>
                <w:sz w:val="21"/>
                <w:szCs w:val="21"/>
                <w:lang w:eastAsia="zh-CN"/>
              </w:rPr>
              <w:t>、</w:t>
            </w:r>
            <w:r>
              <w:rPr>
                <w:rFonts w:hint="eastAsia"/>
                <w:sz w:val="21"/>
                <w:szCs w:val="21"/>
              </w:rPr>
              <w:t xml:space="preserve"> 9.3 </w:t>
            </w:r>
            <w:r>
              <w:rPr>
                <w:rFonts w:hint="eastAsia"/>
                <w:sz w:val="21"/>
                <w:szCs w:val="21"/>
                <w:lang w:eastAsia="zh-CN"/>
              </w:rPr>
              <w:t>、</w:t>
            </w:r>
            <w:r>
              <w:rPr>
                <w:rFonts w:hint="eastAsia"/>
                <w:sz w:val="21"/>
                <w:szCs w:val="21"/>
              </w:rPr>
              <w:t>10.1</w:t>
            </w:r>
          </w:p>
          <w:p>
            <w:pPr>
              <w:tabs>
                <w:tab w:val="left" w:pos="709"/>
              </w:tabs>
              <w:spacing w:line="360" w:lineRule="auto"/>
              <w:ind w:right="57"/>
              <w:jc w:val="left"/>
              <w:rPr>
                <w:rFonts w:hint="eastAsia" w:eastAsia="宋体"/>
                <w:lang w:eastAsia="zh-CN"/>
              </w:rPr>
            </w:pPr>
            <w:r>
              <w:rPr>
                <w:rFonts w:hint="eastAsia"/>
                <w:sz w:val="21"/>
                <w:szCs w:val="21"/>
              </w:rPr>
              <w:t>对</w:t>
            </w:r>
            <w:r>
              <w:rPr>
                <w:rFonts w:hint="eastAsia"/>
                <w:sz w:val="21"/>
                <w:szCs w:val="21"/>
                <w:lang w:val="en-US" w:eastAsia="zh-CN"/>
              </w:rPr>
              <w:t>上次审核</w:t>
            </w:r>
            <w:r>
              <w:rPr>
                <w:rFonts w:hint="eastAsia"/>
                <w:sz w:val="21"/>
                <w:szCs w:val="21"/>
              </w:rPr>
              <w:t>问题整改情况的确认；事故事件及起处理情况，环境安全监测情况、使用情况等</w:t>
            </w:r>
            <w:r>
              <w:rPr>
                <w:rFonts w:hint="eastAsia"/>
                <w:sz w:val="21"/>
                <w:szCs w:val="21"/>
                <w:lang w:eastAsia="zh-CN"/>
              </w:rPr>
              <w:t>，</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理解组织及其环境</w:t>
            </w:r>
          </w:p>
          <w:p>
            <w:pPr>
              <w:pStyle w:val="2"/>
            </w:pPr>
          </w:p>
          <w:p>
            <w:pPr>
              <w:spacing w:line="280" w:lineRule="exact"/>
              <w:rPr>
                <w:rFonts w:ascii="宋体" w:hAnsi="宋体" w:cs="宋体"/>
                <w:szCs w:val="21"/>
              </w:rPr>
            </w:pPr>
            <w:r>
              <w:rPr>
                <w:rFonts w:hint="eastAsia" w:ascii="宋体" w:hAnsi="宋体" w:cs="宋体"/>
                <w:szCs w:val="21"/>
              </w:rPr>
              <w:t>确定管理体系的范围</w:t>
            </w:r>
          </w:p>
          <w:p>
            <w:pPr>
              <w:pStyle w:val="2"/>
            </w:pP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E 4.1</w:t>
            </w:r>
          </w:p>
          <w:p>
            <w:pPr>
              <w:spacing w:line="280" w:lineRule="exact"/>
              <w:rPr>
                <w:rFonts w:ascii="宋体" w:hAnsi="宋体" w:cs="宋体"/>
                <w:szCs w:val="21"/>
              </w:rPr>
            </w:pPr>
            <w:r>
              <w:rPr>
                <w:rFonts w:hint="eastAsia" w:ascii="宋体" w:hAnsi="宋体" w:cs="宋体"/>
                <w:szCs w:val="21"/>
              </w:rPr>
              <w:t>E 4.3</w:t>
            </w:r>
          </w:p>
          <w:p>
            <w:pPr>
              <w:pStyle w:val="2"/>
            </w:pPr>
          </w:p>
          <w:p>
            <w:pPr>
              <w:pStyle w:val="2"/>
              <w:rPr>
                <w:rFonts w:ascii="宋体" w:hAnsi="宋体" w:cs="宋体"/>
                <w:szCs w:val="21"/>
              </w:rPr>
            </w:pPr>
          </w:p>
        </w:tc>
        <w:tc>
          <w:tcPr>
            <w:tcW w:w="11206" w:type="dxa"/>
            <w:vAlign w:val="center"/>
          </w:tcPr>
          <w:p>
            <w:pPr>
              <w:spacing w:line="360" w:lineRule="auto"/>
            </w:pPr>
            <w:r>
              <w:rPr>
                <w:rFonts w:hint="eastAsia"/>
              </w:rPr>
              <w:t>面谈人员：最管理者，总经理：吴承灿 ；管代：孙建新，总经理介绍了公司的基本情况：</w:t>
            </w:r>
          </w:p>
          <w:p>
            <w:pPr>
              <w:spacing w:line="360" w:lineRule="auto"/>
              <w:jc w:val="left"/>
            </w:pPr>
            <w:r>
              <w:rPr>
                <w:rFonts w:hint="eastAsia"/>
              </w:rPr>
              <w:t>公司名称：陕西石竹能源科技有限公司，公司2009年2月19日注册，有效期2024年2月18日</w:t>
            </w:r>
          </w:p>
          <w:p>
            <w:pPr>
              <w:spacing w:line="360" w:lineRule="auto"/>
              <w:jc w:val="left"/>
            </w:pPr>
            <w:r>
              <w:rPr>
                <w:rFonts w:hint="eastAsia"/>
              </w:rPr>
              <w:t>法人代表：吴承灿。</w:t>
            </w:r>
          </w:p>
          <w:p>
            <w:pPr>
              <w:spacing w:line="360" w:lineRule="auto"/>
              <w:jc w:val="left"/>
            </w:pPr>
            <w:r>
              <w:rPr>
                <w:rFonts w:hint="eastAsia"/>
              </w:rPr>
              <w:t>注册地址：陕西省咸阳市秦都区高新技术开发区西里路9号</w:t>
            </w:r>
          </w:p>
          <w:p>
            <w:pPr>
              <w:spacing w:line="360" w:lineRule="auto"/>
              <w:jc w:val="left"/>
            </w:pPr>
            <w:r>
              <w:rPr>
                <w:rFonts w:hint="eastAsia"/>
                <w:lang w:val="de-DE"/>
              </w:rPr>
              <w:t>经营地址：</w:t>
            </w:r>
            <w:r>
              <w:rPr>
                <w:rFonts w:hint="eastAsia"/>
              </w:rPr>
              <w:t>陕西省咸阳市秦都区高新技术开发区西里路9号</w:t>
            </w:r>
          </w:p>
          <w:p>
            <w:pPr>
              <w:spacing w:line="360" w:lineRule="auto"/>
              <w:jc w:val="left"/>
            </w:pPr>
            <w:r>
              <w:rPr>
                <w:rFonts w:hint="eastAsia"/>
              </w:rPr>
              <w:t>营业执照：经营范围石油勘探设备配件、矿山机械配件、汽车、摩托车配件的生产加工及销售;机械加工、钢材批发零售(依法须经批准的项目经相关部门批准后方可开展经营活动)</w:t>
            </w:r>
          </w:p>
          <w:p>
            <w:pPr>
              <w:spacing w:line="360" w:lineRule="auto"/>
              <w:jc w:val="left"/>
            </w:pPr>
            <w:r>
              <w:rPr>
                <w:rFonts w:hint="eastAsia"/>
              </w:rPr>
              <w:t>营业执照符合要求，见附件。注册资金1000万元。</w:t>
            </w:r>
          </w:p>
          <w:p>
            <w:pPr>
              <w:spacing w:line="360" w:lineRule="auto"/>
              <w:jc w:val="left"/>
            </w:pPr>
            <w:r>
              <w:rPr>
                <w:rFonts w:hint="eastAsia"/>
              </w:rPr>
              <w:t>认证范围为： 金属机加工件的生产所涉及场所的相关</w:t>
            </w:r>
            <w:r>
              <w:rPr>
                <w:rFonts w:hint="eastAsia" w:ascii="宋体" w:hAnsi="宋体"/>
                <w:szCs w:val="21"/>
              </w:rPr>
              <w:t>环境</w:t>
            </w:r>
            <w:r>
              <w:rPr>
                <w:rFonts w:hint="eastAsia"/>
              </w:rPr>
              <w:t>管理活动。</w:t>
            </w:r>
          </w:p>
          <w:p>
            <w:pPr>
              <w:spacing w:line="360" w:lineRule="auto"/>
              <w:jc w:val="left"/>
            </w:pPr>
            <w:r>
              <w:rPr>
                <w:rFonts w:hint="eastAsia" w:ascii="宋体" w:hAnsi="宋体"/>
                <w:szCs w:val="21"/>
              </w:rPr>
              <w:t>公司管理体系设置了综合部、品质部、采购销售部、生产部、技术部。</w:t>
            </w:r>
            <w:r>
              <w:rPr>
                <w:rFonts w:hint="eastAsia"/>
              </w:rPr>
              <w:t>认证主管部门：综合部</w:t>
            </w:r>
          </w:p>
          <w:p>
            <w:pPr>
              <w:spacing w:line="360" w:lineRule="auto"/>
              <w:rPr>
                <w:rFonts w:hint="eastAsia" w:ascii="宋体" w:hAnsi="宋体" w:eastAsia="宋体" w:cs="宋体"/>
                <w:sz w:val="21"/>
                <w:szCs w:val="21"/>
                <w:lang w:val="en-US" w:eastAsia="zh-CN"/>
              </w:rPr>
            </w:pPr>
            <w:r>
              <w:rPr>
                <w:rFonts w:hint="eastAsia"/>
              </w:rPr>
              <w:t>公司2019年1月1日开始实施环境管理体系，公司现有</w:t>
            </w:r>
            <w:r>
              <w:rPr>
                <w:rFonts w:hint="eastAsia"/>
                <w:lang w:val="en-US" w:eastAsia="zh-CN"/>
              </w:rPr>
              <w:t>2</w:t>
            </w:r>
            <w:r>
              <w:rPr>
                <w:rFonts w:hint="eastAsia"/>
              </w:rPr>
              <w:t>个机加厂房及一栋办公楼</w:t>
            </w:r>
            <w:r>
              <w:rPr>
                <w:rFonts w:hint="eastAsia"/>
                <w:lang w:eastAsia="zh-CN"/>
              </w:rPr>
              <w:t>，</w:t>
            </w:r>
            <w:r>
              <w:rPr>
                <w:rFonts w:hint="eastAsia"/>
              </w:rPr>
              <w:t>占地面积：1.8万平米，</w:t>
            </w:r>
            <w:r>
              <w:rPr>
                <w:rFonts w:hint="eastAsia" w:ascii="宋体" w:hAnsi="宋体" w:eastAsia="宋体" w:cs="宋体"/>
                <w:sz w:val="21"/>
                <w:szCs w:val="21"/>
                <w:lang w:val="en-US" w:eastAsia="zh-CN"/>
              </w:rPr>
              <w:t>企业2019年企业发展在原厂区扩建占地面积10514m</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lang w:val="en-US" w:eastAsia="zh-CN"/>
              </w:rPr>
              <w:t>厂房，总投资1000万元，</w:t>
            </w:r>
          </w:p>
          <w:p>
            <w:pPr>
              <w:spacing w:line="360" w:lineRule="auto"/>
              <w:ind w:firstLine="420" w:firstLineChars="200"/>
              <w:jc w:val="left"/>
            </w:pPr>
            <w:r>
              <w:rPr>
                <w:rFonts w:hint="eastAsia"/>
              </w:rPr>
              <w:t>公司自建立了环境管理体系以来对实施情况进行了检查，对环境绩效进行了测量，每年进行一次内部管理体系审核和一次管理评审, 认为方针、目标比较适宜；公司所制定方针、目标、指标基本能够实现，组织管理活动、资源提供、实施运行、测量分析改进过程无变化。组织通过测量与监测、不符合、纠正预防措施、内审管评等要素的实施形成自我完善改进机制，体系运行基本正常。</w:t>
            </w:r>
          </w:p>
          <w:p>
            <w:pPr>
              <w:spacing w:line="360" w:lineRule="auto"/>
              <w:ind w:firstLine="420" w:firstLineChars="200"/>
              <w:jc w:val="left"/>
              <w:rPr>
                <w:rFonts w:ascii="宋体" w:hAnsi="宋体"/>
                <w:szCs w:val="21"/>
              </w:rPr>
            </w:pPr>
            <w:r>
              <w:rPr>
                <w:rFonts w:hint="eastAsia"/>
              </w:rPr>
              <w:t>总经理吴承灿述：根据企业目标和战略方向，通过各部门收集信息、识别、分析和评价，公司管理会议讨论研究，明确了与公司目标和战略方向相关的各种外部和内部因素，包括国际、国内、地区和本地的各种法律法规、技术、竞争对手、客户文化、银行、供方、合同方、政府主管部门、组织的员工企业的价值观、文化、知识和以往绩效等相关因素，包括需要考虑的有利和不利因素或条件。</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4.2</w:t>
            </w:r>
          </w:p>
          <w:p>
            <w:pPr>
              <w:pStyle w:val="2"/>
              <w:rPr>
                <w:rFonts w:ascii="宋体" w:hAnsi="宋体" w:cs="宋体"/>
                <w:szCs w:val="21"/>
              </w:rPr>
            </w:pPr>
          </w:p>
        </w:tc>
        <w:tc>
          <w:tcPr>
            <w:tcW w:w="11206" w:type="dxa"/>
            <w:vAlign w:val="center"/>
          </w:tcPr>
          <w:p>
            <w:pPr>
              <w:spacing w:line="360" w:lineRule="auto"/>
              <w:jc w:val="left"/>
              <w:rPr>
                <w:rFonts w:ascii="宋体" w:hAnsi="宋体"/>
                <w:szCs w:val="21"/>
              </w:rPr>
            </w:pPr>
            <w:r>
              <w:rPr>
                <w:rFonts w:hint="eastAsia" w:ascii="宋体" w:hAnsi="宋体"/>
                <w:szCs w:val="21"/>
              </w:rPr>
              <w:t>每年通过访谈、网站向社会告知企业联系方式和经营情况， 持续与相关方沟通，了解相关方要求，以及这些需求和期望中哪些将成为其合规性义务，并对他们的要求进行评审。</w:t>
            </w:r>
          </w:p>
          <w:p>
            <w:pPr>
              <w:spacing w:line="360" w:lineRule="auto"/>
              <w:jc w:val="left"/>
              <w:rPr>
                <w:rFonts w:ascii="宋体" w:hAnsi="宋体"/>
                <w:szCs w:val="21"/>
              </w:rPr>
            </w:pPr>
            <w:r>
              <w:rPr>
                <w:rFonts w:hint="eastAsia" w:ascii="宋体" w:hAnsi="宋体"/>
                <w:szCs w:val="21"/>
              </w:rPr>
              <w:t>公司确定的相关方有员工、股东、银行、质量技术监督局、供应商、客户等。</w:t>
            </w:r>
          </w:p>
          <w:p>
            <w:pPr>
              <w:spacing w:line="360" w:lineRule="auto"/>
              <w:jc w:val="left"/>
              <w:rPr>
                <w:rFonts w:ascii="宋体" w:hAnsi="宋体"/>
                <w:szCs w:val="21"/>
              </w:rPr>
            </w:pPr>
            <w:r>
              <w:rPr>
                <w:rFonts w:hint="eastAsia" w:ascii="宋体" w:hAnsi="宋体"/>
                <w:szCs w:val="21"/>
              </w:rPr>
              <w:t>理解员工诉求的形式为走访、调查、电话沟通等方式了解相关方的需求；</w:t>
            </w:r>
          </w:p>
          <w:p>
            <w:pPr>
              <w:spacing w:line="360" w:lineRule="auto"/>
              <w:jc w:val="left"/>
              <w:rPr>
                <w:rFonts w:ascii="宋体" w:hAnsi="宋体"/>
                <w:szCs w:val="21"/>
              </w:rPr>
            </w:pPr>
            <w:r>
              <w:rPr>
                <w:rFonts w:hint="eastAsia" w:ascii="宋体" w:hAnsi="宋体"/>
                <w:szCs w:val="21"/>
              </w:rPr>
              <w:t>员工关注的主要问题有工作环境、身体状况、劳保护具、工资、待遇、、福利等，供应商关注的主要问题是回款时间等。</w:t>
            </w:r>
          </w:p>
          <w:p>
            <w:pPr>
              <w:spacing w:line="360" w:lineRule="auto"/>
              <w:jc w:val="left"/>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spacing w:line="360" w:lineRule="auto"/>
              <w:jc w:val="left"/>
              <w:rPr>
                <w:rFonts w:ascii="宋体" w:hAnsi="宋体"/>
                <w:szCs w:val="21"/>
              </w:rPr>
            </w:pPr>
            <w:r>
              <w:rPr>
                <w:rFonts w:hint="eastAsia" w:ascii="宋体" w:hAnsi="宋体"/>
                <w:szCs w:val="21"/>
              </w:rPr>
              <w:t>目前顾客的主要需求期望是：提供使用方便，满足环保要求，质量稳定的产品。公司对这些相关方及其要求的相关信息进行监视和评审，以便于理解和持续满足相关方的需求和期望。</w:t>
            </w:r>
          </w:p>
          <w:p>
            <w:pPr>
              <w:spacing w:line="360" w:lineRule="auto"/>
              <w:jc w:val="left"/>
              <w:rPr>
                <w:rFonts w:ascii="宋体" w:hAnsi="宋体"/>
                <w:szCs w:val="21"/>
              </w:rPr>
            </w:pPr>
            <w:r>
              <w:rPr>
                <w:rFonts w:hint="eastAsia" w:ascii="宋体" w:hAnsi="宋体"/>
                <w:szCs w:val="21"/>
              </w:rPr>
              <w:t>抽查关于内、外部环境评审记录2份，记录清晰。</w:t>
            </w:r>
          </w:p>
          <w:p>
            <w:pPr>
              <w:spacing w:line="360" w:lineRule="auto"/>
              <w:jc w:val="left"/>
              <w:rPr>
                <w:rFonts w:ascii="宋体" w:hAnsi="宋体"/>
                <w:szCs w:val="21"/>
              </w:rPr>
            </w:pPr>
            <w:r>
              <w:rPr>
                <w:rFonts w:hint="eastAsia" w:ascii="宋体" w:hAnsi="宋体"/>
                <w:szCs w:val="21"/>
              </w:rPr>
              <w:t>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szCs w:val="21"/>
              </w:rPr>
            </w:pPr>
            <w:r>
              <w:rPr>
                <w:rFonts w:hint="eastAsia" w:ascii="宋体" w:hAnsi="宋体"/>
                <w:szCs w:val="21"/>
              </w:rPr>
              <w:t>对公司不利的内、外部因素有：市场竞争非常激烈，产品销售利润不断降低。</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管理体系及其过程</w:t>
            </w:r>
          </w:p>
          <w:p>
            <w:pPr>
              <w:spacing w:line="280" w:lineRule="exact"/>
              <w:rPr>
                <w:rFonts w:ascii="宋体" w:hAnsi="宋体" w:cs="宋体"/>
                <w:szCs w:val="21"/>
              </w:rPr>
            </w:pPr>
          </w:p>
        </w:tc>
        <w:tc>
          <w:tcPr>
            <w:tcW w:w="950" w:type="dxa"/>
          </w:tcPr>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4.4</w:t>
            </w:r>
          </w:p>
          <w:p>
            <w:pPr>
              <w:spacing w:line="280" w:lineRule="exact"/>
              <w:rPr>
                <w:rFonts w:ascii="宋体" w:hAnsi="宋体" w:cs="宋体"/>
                <w:szCs w:val="21"/>
              </w:rPr>
            </w:pPr>
          </w:p>
        </w:tc>
        <w:tc>
          <w:tcPr>
            <w:tcW w:w="11206" w:type="dxa"/>
            <w:vAlign w:val="center"/>
          </w:tcPr>
          <w:p>
            <w:pPr>
              <w:spacing w:line="360" w:lineRule="auto"/>
              <w:jc w:val="left"/>
              <w:rPr>
                <w:rFonts w:ascii="宋体" w:hAnsi="宋体"/>
                <w:szCs w:val="21"/>
              </w:rPr>
            </w:pPr>
            <w:r>
              <w:rPr>
                <w:rFonts w:hint="eastAsia" w:ascii="宋体" w:hAnsi="宋体"/>
                <w:szCs w:val="21"/>
              </w:rPr>
              <w:t>公司按照标准建立了文件化的管理体系，编写了管理手册、程序文件、三级文件，文件中包括了方针、目标,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jc w:val="left"/>
              <w:rPr>
                <w:rFonts w:ascii="宋体" w:hAnsi="宋体"/>
                <w:szCs w:val="21"/>
              </w:rPr>
            </w:pPr>
            <w:r>
              <w:rPr>
                <w:rFonts w:hint="eastAsia" w:ascii="宋体" w:hAnsi="宋体"/>
                <w:szCs w:val="21"/>
              </w:rPr>
              <w:t>公司文件适宜，符合公司规模、人员能力、过程及其相互作用的复杂程度。基本符合标准要求。</w:t>
            </w:r>
          </w:p>
          <w:p>
            <w:pPr>
              <w:spacing w:line="360" w:lineRule="auto"/>
              <w:jc w:val="left"/>
              <w:rPr>
                <w:rFonts w:ascii="宋体" w:hAnsi="宋体"/>
                <w:szCs w:val="21"/>
              </w:rPr>
            </w:pPr>
            <w:r>
              <w:rPr>
                <w:rFonts w:hint="eastAsia" w:ascii="宋体" w:hAnsi="宋体"/>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领导作用与承诺</w:t>
            </w:r>
          </w:p>
          <w:p>
            <w:pPr>
              <w:spacing w:line="360" w:lineRule="auto"/>
              <w:jc w:val="left"/>
              <w:rPr>
                <w:rFonts w:ascii="宋体" w:hAnsi="宋体"/>
                <w:szCs w:val="21"/>
              </w:rPr>
            </w:pPr>
          </w:p>
        </w:tc>
        <w:tc>
          <w:tcPr>
            <w:tcW w:w="950" w:type="dxa"/>
            <w:vAlign w:val="center"/>
          </w:tcPr>
          <w:p>
            <w:pPr>
              <w:spacing w:line="360" w:lineRule="auto"/>
              <w:jc w:val="left"/>
              <w:rPr>
                <w:rFonts w:ascii="宋体" w:hAnsi="宋体"/>
                <w:szCs w:val="21"/>
              </w:rPr>
            </w:pPr>
          </w:p>
          <w:p>
            <w:pPr>
              <w:spacing w:line="360" w:lineRule="auto"/>
              <w:jc w:val="left"/>
              <w:rPr>
                <w:rFonts w:ascii="宋体" w:hAnsi="宋体"/>
                <w:szCs w:val="21"/>
              </w:rPr>
            </w:pPr>
            <w:r>
              <w:rPr>
                <w:rFonts w:hint="eastAsia" w:ascii="宋体" w:hAnsi="宋体"/>
                <w:szCs w:val="21"/>
              </w:rPr>
              <w:t>5.1</w:t>
            </w:r>
          </w:p>
        </w:tc>
        <w:tc>
          <w:tcPr>
            <w:tcW w:w="11206" w:type="dxa"/>
            <w:vAlign w:val="center"/>
          </w:tcPr>
          <w:p>
            <w:pPr>
              <w:spacing w:line="360" w:lineRule="auto"/>
              <w:jc w:val="left"/>
              <w:rPr>
                <w:rFonts w:ascii="宋体" w:hAnsi="宋体"/>
                <w:szCs w:val="21"/>
              </w:rPr>
            </w:pPr>
            <w:r>
              <w:rPr>
                <w:rFonts w:hint="eastAsia" w:ascii="宋体" w:hAnsi="宋体"/>
                <w:szCs w:val="21"/>
              </w:rPr>
              <w:t xml:space="preserve">总经理：吴承灿   管理者代表：孙建新  </w:t>
            </w:r>
          </w:p>
          <w:p>
            <w:pPr>
              <w:spacing w:line="360" w:lineRule="auto"/>
              <w:jc w:val="left"/>
              <w:rPr>
                <w:rFonts w:ascii="宋体" w:hAnsi="宋体"/>
                <w:szCs w:val="21"/>
              </w:rPr>
            </w:pPr>
            <w:r>
              <w:rPr>
                <w:rFonts w:hint="eastAsia" w:ascii="宋体" w:hAnsi="宋体"/>
                <w:szCs w:val="21"/>
              </w:rPr>
              <w:t xml:space="preserve">通过与总经理交流：总经理从以下活动方式对公司建立、实施质量、环境和职业健康安全管理体系并持续改进其有效性所做出的承诺提供证据： </w:t>
            </w:r>
          </w:p>
          <w:p>
            <w:pPr>
              <w:spacing w:line="360" w:lineRule="auto"/>
              <w:jc w:val="left"/>
              <w:rPr>
                <w:rFonts w:ascii="宋体" w:hAnsi="宋体"/>
                <w:szCs w:val="21"/>
              </w:rPr>
            </w:pPr>
            <w:r>
              <w:rPr>
                <w:rFonts w:hint="eastAsia" w:ascii="宋体" w:hAnsi="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jc w:val="left"/>
              <w:rPr>
                <w:rFonts w:ascii="宋体" w:hAnsi="宋体"/>
                <w:szCs w:val="21"/>
              </w:rPr>
            </w:pPr>
            <w:r>
              <w:rPr>
                <w:rFonts w:hint="eastAsia" w:ascii="宋体" w:hAnsi="宋体"/>
                <w:szCs w:val="21"/>
              </w:rPr>
              <w:t>2、制定和发布公司管理方针：遵守法律、防治污染、降低能耗、持续改进；</w:t>
            </w:r>
          </w:p>
          <w:p>
            <w:pPr>
              <w:spacing w:line="360" w:lineRule="auto"/>
              <w:jc w:val="left"/>
              <w:rPr>
                <w:rFonts w:ascii="宋体" w:hAnsi="宋体"/>
                <w:szCs w:val="21"/>
              </w:rPr>
            </w:pPr>
            <w:r>
              <w:rPr>
                <w:rFonts w:hint="eastAsia" w:ascii="宋体" w:hAnsi="宋体"/>
                <w:szCs w:val="21"/>
              </w:rPr>
              <w:t xml:space="preserve">3、确保管理目标的制定、分解落实到相关职能和部门，并激励员工为实现目标而努力； </w:t>
            </w:r>
          </w:p>
          <w:p>
            <w:pPr>
              <w:spacing w:line="360" w:lineRule="auto"/>
              <w:jc w:val="left"/>
              <w:rPr>
                <w:rFonts w:ascii="宋体" w:hAnsi="宋体"/>
                <w:szCs w:val="21"/>
              </w:rPr>
            </w:pPr>
            <w:r>
              <w:rPr>
                <w:rFonts w:hint="eastAsia" w:ascii="宋体" w:hAnsi="宋体"/>
                <w:szCs w:val="21"/>
              </w:rPr>
              <w:t xml:space="preserve">4、定期进行管理评审，以评价管理方针、管理目标的适宜性及实现情况，同时评价管理体系的适宜性、充分性和有效性。 </w:t>
            </w:r>
          </w:p>
          <w:p>
            <w:pPr>
              <w:spacing w:line="360" w:lineRule="auto"/>
              <w:jc w:val="left"/>
              <w:rPr>
                <w:rFonts w:ascii="宋体" w:hAnsi="宋体"/>
                <w:szCs w:val="21"/>
              </w:rPr>
            </w:pPr>
            <w:r>
              <w:rPr>
                <w:rFonts w:hint="eastAsia" w:ascii="宋体" w:hAnsi="宋体"/>
                <w:szCs w:val="21"/>
              </w:rPr>
              <w:t>5、为确保建立、运行和持续改进管理体系所需的一切资源得到满足，公司提供了信息、技术、人力、设备、环境和资金等必要资源。</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1907"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950" w:type="dxa"/>
            <w:vAlign w:val="center"/>
          </w:tcPr>
          <w:p>
            <w:pPr>
              <w:spacing w:line="360" w:lineRule="auto"/>
              <w:rPr>
                <w:rFonts w:ascii="宋体" w:hAnsi="宋体"/>
                <w:szCs w:val="21"/>
              </w:rPr>
            </w:pPr>
            <w:r>
              <w:rPr>
                <w:rFonts w:hint="eastAsia" w:ascii="宋体" w:hAnsi="宋体"/>
                <w:szCs w:val="21"/>
              </w:rPr>
              <w:t>5.2</w:t>
            </w:r>
          </w:p>
        </w:tc>
        <w:tc>
          <w:tcPr>
            <w:tcW w:w="11206" w:type="dxa"/>
            <w:vAlign w:val="center"/>
          </w:tcPr>
          <w:p>
            <w:pPr>
              <w:spacing w:line="360" w:lineRule="auto"/>
              <w:rPr>
                <w:rFonts w:ascii="宋体" w:hAnsi="宋体"/>
                <w:szCs w:val="21"/>
              </w:rPr>
            </w:pPr>
            <w:r>
              <w:rPr>
                <w:rFonts w:hint="eastAsia" w:ascii="宋体" w:hAnsi="宋体"/>
                <w:szCs w:val="21"/>
              </w:rPr>
              <w:t>环境方针：</w:t>
            </w:r>
          </w:p>
          <w:p>
            <w:pPr>
              <w:spacing w:line="360" w:lineRule="auto"/>
              <w:ind w:firstLine="422" w:firstLineChars="200"/>
              <w:rPr>
                <w:rFonts w:ascii="宋体" w:hAnsi="宋体"/>
                <w:b/>
                <w:bCs/>
                <w:szCs w:val="21"/>
              </w:rPr>
            </w:pPr>
            <w:r>
              <w:rPr>
                <w:rFonts w:hint="eastAsia" w:ascii="宋体" w:hAnsi="宋体"/>
                <w:b/>
                <w:bCs/>
                <w:szCs w:val="21"/>
              </w:rPr>
              <w:t>遵守法律、防治污染、降低能耗、持续改进</w:t>
            </w:r>
          </w:p>
          <w:p>
            <w:pPr>
              <w:spacing w:line="360" w:lineRule="auto"/>
              <w:ind w:firstLine="420" w:firstLineChars="200"/>
              <w:rPr>
                <w:rFonts w:ascii="宋体" w:hAnsi="宋体"/>
                <w:szCs w:val="21"/>
              </w:rPr>
            </w:pPr>
            <w:r>
              <w:rPr>
                <w:rFonts w:hint="eastAsia" w:ascii="宋体" w:hAnsi="宋体"/>
                <w:szCs w:val="21"/>
              </w:rPr>
              <w:t>上述环境方针体现了公司对环境污染和可持续发展方面的承诺。也是公司全体员工的环境行为准则。</w:t>
            </w:r>
          </w:p>
          <w:p>
            <w:pPr>
              <w:spacing w:line="360" w:lineRule="auto"/>
              <w:ind w:firstLine="420" w:firstLineChars="200"/>
              <w:rPr>
                <w:rFonts w:ascii="宋体" w:hAnsi="宋体"/>
                <w:szCs w:val="21"/>
              </w:rPr>
            </w:pPr>
            <w:r>
              <w:rPr>
                <w:rFonts w:hint="eastAsia" w:ascii="宋体" w:hAnsi="宋体"/>
                <w:szCs w:val="21"/>
              </w:rPr>
              <w:t>管理方针在手册上进行了确定和发布，并通过文件发放的形式发放至各部门、给员工进行了宣传培训。</w:t>
            </w:r>
          </w:p>
          <w:p>
            <w:pPr>
              <w:spacing w:line="360" w:lineRule="auto"/>
              <w:ind w:firstLine="420" w:firstLineChars="200"/>
              <w:rPr>
                <w:rFonts w:ascii="宋体" w:hAnsi="宋体"/>
                <w:szCs w:val="21"/>
              </w:rPr>
            </w:pPr>
            <w:r>
              <w:rPr>
                <w:rFonts w:hint="eastAsia" w:ascii="宋体" w:hAnsi="宋体"/>
                <w:szCs w:val="21"/>
              </w:rPr>
              <w:t>手册对方针的内涵进行了阐述，为目标制定及评审提供了框架，每年至少一次,在管理评审会议上讨论其适宜性和改进机会。</w:t>
            </w:r>
          </w:p>
          <w:p>
            <w:pPr>
              <w:spacing w:line="360" w:lineRule="auto"/>
              <w:ind w:firstLine="420" w:firstLineChars="200"/>
              <w:rPr>
                <w:rFonts w:ascii="宋体" w:hAnsi="宋体"/>
                <w:szCs w:val="21"/>
              </w:rPr>
            </w:pPr>
            <w:r>
              <w:rPr>
                <w:rFonts w:hint="eastAsia" w:ascii="宋体" w:hAnsi="宋体"/>
                <w:szCs w:val="21"/>
              </w:rPr>
              <w:t>企业的方针的内容和管理基本符合标准和法规要求。</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950" w:type="dxa"/>
            <w:vAlign w:val="center"/>
          </w:tcPr>
          <w:p>
            <w:pPr>
              <w:spacing w:line="360" w:lineRule="auto"/>
              <w:rPr>
                <w:rFonts w:asciiTheme="minorEastAsia" w:hAnsiTheme="minorEastAsia" w:eastAsiaTheme="minorEastAsia"/>
                <w:szCs w:val="24"/>
              </w:rPr>
            </w:pPr>
            <w:r>
              <w:rPr>
                <w:rFonts w:hint="eastAsia" w:ascii="宋体" w:hAnsi="宋体" w:cs="新宋体"/>
                <w:sz w:val="18"/>
                <w:szCs w:val="18"/>
              </w:rPr>
              <w:t>5.3</w:t>
            </w:r>
          </w:p>
        </w:tc>
        <w:tc>
          <w:tcPr>
            <w:tcW w:w="11206"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Pr>
                <w:rFonts w:hint="eastAsia"/>
              </w:rPr>
              <w:t>孙建新</w:t>
            </w:r>
            <w:r>
              <w:rPr>
                <w:rFonts w:hint="eastAsia" w:ascii="宋体" w:hAnsi="宋体" w:cs="宋体"/>
                <w:szCs w:val="21"/>
              </w:rPr>
              <w:t>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确保本公司管理体系所需的过程得到建立、实施和保持，代表吴承灿行使职权；</w:t>
            </w:r>
          </w:p>
          <w:p>
            <w:pPr>
              <w:spacing w:line="360" w:lineRule="auto"/>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5"/>
            </w:pPr>
            <w:r>
              <w:rPr>
                <w:rFonts w:hint="eastAsia" w:ascii="宋体" w:hAnsi="宋体" w:cs="宋体"/>
                <w:sz w:val="21"/>
                <w:szCs w:val="21"/>
              </w:rPr>
              <w:t>询问管代孙建新，职责回答正确。</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950" w:type="dxa"/>
            <w:vAlign w:val="center"/>
          </w:tcPr>
          <w:p>
            <w:pPr>
              <w:pStyle w:val="5"/>
            </w:pPr>
          </w:p>
          <w:p>
            <w:pPr>
              <w:spacing w:line="360" w:lineRule="auto"/>
              <w:jc w:val="left"/>
              <w:rPr>
                <w:rFonts w:asciiTheme="minorEastAsia" w:hAnsiTheme="minorEastAsia"/>
                <w:szCs w:val="24"/>
              </w:rPr>
            </w:pPr>
            <w:r>
              <w:rPr>
                <w:rFonts w:hint="eastAsia" w:asciiTheme="minorEastAsia" w:hAnsiTheme="minorEastAsia" w:eastAsiaTheme="minorEastAsia"/>
                <w:szCs w:val="24"/>
              </w:rPr>
              <w:t xml:space="preserve"> 6.1.1</w:t>
            </w:r>
          </w:p>
        </w:tc>
        <w:tc>
          <w:tcPr>
            <w:tcW w:w="11206" w:type="dxa"/>
            <w:vAlign w:val="center"/>
          </w:tcPr>
          <w:p>
            <w:pPr>
              <w:pStyle w:val="5"/>
              <w:rPr>
                <w:rFonts w:ascii="宋体" w:hAnsi="宋体" w:cs="宋体"/>
                <w:sz w:val="21"/>
                <w:szCs w:val="21"/>
              </w:rPr>
            </w:pPr>
            <w:r>
              <w:rPr>
                <w:rFonts w:hint="eastAsia" w:ascii="宋体" w:hAnsi="宋体" w:cs="宋体"/>
                <w:sz w:val="21"/>
                <w:szCs w:val="21"/>
              </w:rPr>
              <w:t>提供《风险和机遇的应对控制程序》，对组织内外的风险和机遇进行了策划。提供“风险和机遇评估分析表”，识别了风险和机遇来源、风险和机遇内容、管理措施、责任部门、实时时间、评价措施等：</w:t>
            </w:r>
          </w:p>
          <w:p>
            <w:pPr>
              <w:pStyle w:val="5"/>
              <w:rPr>
                <w:rFonts w:ascii="宋体" w:hAnsi="宋体" w:cs="宋体"/>
                <w:sz w:val="21"/>
                <w:szCs w:val="21"/>
              </w:rPr>
            </w:pPr>
            <w:r>
              <w:rPr>
                <w:rFonts w:hint="eastAsia" w:ascii="宋体" w:hAnsi="宋体" w:cs="宋体"/>
                <w:sz w:val="21"/>
                <w:szCs w:val="21"/>
              </w:rPr>
              <w:t>风险、机遇：从客户开发、合同评审、产品交付、领导作用、信息交流、采购管理、仓库管理等方面进行分析评估。从严重程度、发生概率、可探测性等确定风险和机遇。</w:t>
            </w:r>
          </w:p>
          <w:p>
            <w:pPr>
              <w:pStyle w:val="5"/>
              <w:rPr>
                <w:rFonts w:ascii="宋体" w:hAnsi="宋体" w:cs="宋体"/>
                <w:sz w:val="21"/>
                <w:szCs w:val="21"/>
              </w:rPr>
            </w:pPr>
            <w:r>
              <w:rPr>
                <w:rFonts w:hint="eastAsia" w:ascii="宋体" w:hAnsi="宋体" w:cs="宋体"/>
                <w:sz w:val="21"/>
                <w:szCs w:val="21"/>
              </w:rPr>
              <w:t>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atLeast"/>
        </w:trPr>
        <w:tc>
          <w:tcPr>
            <w:tcW w:w="1907"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目标和措施策划</w:t>
            </w:r>
          </w:p>
        </w:tc>
        <w:tc>
          <w:tcPr>
            <w:tcW w:w="950" w:type="dxa"/>
            <w:vAlign w:val="center"/>
          </w:tcPr>
          <w:p>
            <w:pPr>
              <w:spacing w:line="360" w:lineRule="auto"/>
              <w:jc w:val="left"/>
              <w:rPr>
                <w:rFonts w:asciiTheme="minorEastAsia" w:hAnsiTheme="minorEastAsia" w:eastAsiaTheme="minorEastAsia"/>
                <w:szCs w:val="24"/>
              </w:rPr>
            </w:pPr>
            <w:r>
              <w:rPr>
                <w:rFonts w:hint="eastAsia" w:asciiTheme="minorEastAsia" w:hAnsiTheme="minorEastAsia" w:eastAsiaTheme="minorEastAsia"/>
                <w:szCs w:val="24"/>
              </w:rPr>
              <w:t>6.2</w:t>
            </w:r>
          </w:p>
          <w:p>
            <w:pPr>
              <w:spacing w:line="360" w:lineRule="auto"/>
              <w:jc w:val="left"/>
              <w:rPr>
                <w:rFonts w:asciiTheme="minorEastAsia" w:hAnsiTheme="minorEastAsia" w:eastAsiaTheme="minorEastAsia"/>
                <w:szCs w:val="24"/>
              </w:rPr>
            </w:pPr>
          </w:p>
        </w:tc>
        <w:tc>
          <w:tcPr>
            <w:tcW w:w="11206" w:type="dxa"/>
            <w:vAlign w:val="center"/>
          </w:tcPr>
          <w:p>
            <w:pPr>
              <w:spacing w:line="360" w:lineRule="auto"/>
            </w:pPr>
            <w:r>
              <w:rPr>
                <w:rFonts w:hint="eastAsia"/>
              </w:rPr>
              <w:t>组织对公司质量、环境、职业健康安全目标、指标予以分解，并在相关职能层次部门建立分目标，</w:t>
            </w:r>
          </w:p>
          <w:p>
            <w:pPr>
              <w:spacing w:line="360" w:lineRule="auto"/>
            </w:pPr>
            <w:r>
              <w:rPr>
                <w:rFonts w:hint="eastAsia"/>
              </w:rPr>
              <w:t>查见《20</w:t>
            </w:r>
            <w:r>
              <w:rPr>
                <w:rFonts w:hint="eastAsia"/>
                <w:lang w:val="en-US" w:eastAsia="zh-CN"/>
              </w:rPr>
              <w:t>21</w:t>
            </w:r>
            <w:r>
              <w:rPr>
                <w:rFonts w:hint="eastAsia"/>
              </w:rPr>
              <w:t>年度环境目标指标</w:t>
            </w:r>
            <w:r>
              <w:rPr>
                <w:rFonts w:hint="eastAsia"/>
                <w:lang w:val="en-US" w:eastAsia="zh-CN"/>
              </w:rPr>
              <w:t>考核</w:t>
            </w:r>
            <w:r>
              <w:rPr>
                <w:rFonts w:hint="eastAsia"/>
              </w:rPr>
              <w:t>表 》</w:t>
            </w:r>
            <w:r>
              <w:rPr>
                <w:rFonts w:hint="eastAsia"/>
                <w:lang w:eastAsia="zh-CN"/>
              </w:rPr>
              <w:t>，</w:t>
            </w:r>
            <w:r>
              <w:rPr>
                <w:rFonts w:hint="eastAsia"/>
                <w:lang w:val="en-US" w:eastAsia="zh-CN"/>
              </w:rPr>
              <w:t>考核人</w:t>
            </w:r>
            <w:r>
              <w:rPr>
                <w:rFonts w:hint="eastAsia"/>
              </w:rPr>
              <w:t>：</w:t>
            </w:r>
            <w:r>
              <w:rPr>
                <w:rFonts w:hint="eastAsia"/>
                <w:lang w:val="en-US" w:eastAsia="zh-CN"/>
              </w:rPr>
              <w:t xml:space="preserve">孙建新 高海娟  </w:t>
            </w:r>
            <w:r>
              <w:rPr>
                <w:rFonts w:hint="eastAsia"/>
              </w:rPr>
              <w:t>日期：20</w:t>
            </w:r>
            <w:r>
              <w:rPr>
                <w:rFonts w:hint="eastAsia"/>
                <w:lang w:val="en-US" w:eastAsia="zh-CN"/>
              </w:rPr>
              <w:t>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pPr>
              <w:numPr>
                <w:numId w:val="0"/>
              </w:numPr>
              <w:spacing w:line="360" w:lineRule="auto"/>
              <w:rPr>
                <w:rFonts w:hint="eastAsia" w:eastAsia="宋体"/>
                <w:lang w:eastAsia="zh-CN"/>
              </w:rPr>
            </w:pPr>
            <w:r>
              <w:rPr>
                <w:rFonts w:hint="eastAsia" w:ascii="宋体" w:hAnsi="宋体"/>
                <w:szCs w:val="21"/>
              </w:rPr>
              <w:t>考核情况为</w:t>
            </w:r>
            <w:r>
              <w:rPr>
                <w:rFonts w:hint="eastAsia" w:eastAsia="宋体"/>
                <w:lang w:val="en-US" w:eastAsia="zh-CN"/>
              </w:rPr>
              <w:t>1</w:t>
            </w:r>
            <w:r>
              <w:rPr>
                <w:rFonts w:hint="eastAsia" w:eastAsia="宋体"/>
              </w:rPr>
              <w:t>、固体废物</w:t>
            </w:r>
            <w:r>
              <w:rPr>
                <w:rFonts w:hint="eastAsia" w:eastAsia="宋体"/>
                <w:lang w:val="en-US" w:eastAsia="zh-CN"/>
              </w:rPr>
              <w:t>有效处置率100%</w:t>
            </w:r>
            <w:r>
              <w:rPr>
                <w:rFonts w:hint="eastAsia" w:eastAsia="宋体"/>
                <w:lang w:eastAsia="zh-CN"/>
              </w:rPr>
              <w:t>；</w:t>
            </w:r>
          </w:p>
          <w:p>
            <w:pPr>
              <w:numPr>
                <w:ilvl w:val="0"/>
                <w:numId w:val="1"/>
              </w:numPr>
              <w:spacing w:line="360" w:lineRule="auto"/>
              <w:ind w:firstLine="1050" w:firstLineChars="500"/>
              <w:rPr>
                <w:rFonts w:hint="eastAsia" w:eastAsia="宋体"/>
              </w:rPr>
            </w:pPr>
            <w:r>
              <w:rPr>
                <w:rFonts w:hint="eastAsia" w:eastAsia="宋体"/>
              </w:rPr>
              <w:t>火灾发生</w:t>
            </w:r>
            <w:r>
              <w:rPr>
                <w:rFonts w:hint="eastAsia" w:eastAsia="宋体"/>
                <w:lang w:val="en-US" w:eastAsia="zh-CN"/>
              </w:rPr>
              <w:t>率 0</w:t>
            </w:r>
            <w:r>
              <w:rPr>
                <w:rFonts w:hint="eastAsia" w:eastAsia="宋体"/>
              </w:rPr>
              <w:t>；</w:t>
            </w:r>
          </w:p>
          <w:p>
            <w:pPr>
              <w:numPr>
                <w:ilvl w:val="0"/>
                <w:numId w:val="1"/>
              </w:numPr>
              <w:spacing w:line="360" w:lineRule="auto"/>
              <w:ind w:firstLine="1050" w:firstLineChars="500"/>
              <w:rPr>
                <w:rFonts w:hint="eastAsia" w:eastAsia="宋体"/>
                <w:lang w:val="en-US" w:eastAsia="zh-CN"/>
              </w:rPr>
            </w:pPr>
            <w:r>
              <w:rPr>
                <w:rFonts w:hint="eastAsia" w:eastAsia="宋体"/>
                <w:lang w:val="en-US" w:eastAsia="zh-CN"/>
              </w:rPr>
              <w:t>触电事故发生率 0，</w:t>
            </w:r>
          </w:p>
          <w:p>
            <w:pPr>
              <w:numPr>
                <w:ilvl w:val="0"/>
                <w:numId w:val="1"/>
              </w:numPr>
              <w:spacing w:line="360" w:lineRule="auto"/>
              <w:ind w:firstLine="1050" w:firstLineChars="500"/>
              <w:rPr>
                <w:rFonts w:hint="eastAsia" w:eastAsia="宋体"/>
                <w:lang w:val="en-US" w:eastAsia="zh-CN"/>
              </w:rPr>
            </w:pPr>
            <w:r>
              <w:rPr>
                <w:rFonts w:hint="eastAsia" w:eastAsia="宋体"/>
                <w:lang w:val="en-US" w:eastAsia="zh-CN"/>
              </w:rPr>
              <w:t>生产废气、粉尘集尘处理率100%；</w:t>
            </w:r>
          </w:p>
          <w:p>
            <w:pPr>
              <w:numPr>
                <w:numId w:val="0"/>
              </w:numPr>
              <w:spacing w:line="360" w:lineRule="auto"/>
              <w:ind w:firstLine="1050" w:firstLineChars="500"/>
              <w:rPr>
                <w:rFonts w:hint="eastAsia" w:eastAsia="宋体"/>
                <w:lang w:val="en-US" w:eastAsia="zh-CN"/>
              </w:rPr>
            </w:pPr>
            <w:r>
              <w:rPr>
                <w:rFonts w:hint="eastAsia" w:eastAsia="宋体"/>
                <w:lang w:val="en-US" w:eastAsia="zh-CN"/>
              </w:rPr>
              <w:t>5、设备隔音处理率100%；</w:t>
            </w:r>
          </w:p>
          <w:p>
            <w:pPr>
              <w:numPr>
                <w:numId w:val="0"/>
              </w:numPr>
              <w:spacing w:line="360" w:lineRule="auto"/>
              <w:ind w:firstLine="1050" w:firstLineChars="500"/>
              <w:rPr>
                <w:rFonts w:hint="default" w:eastAsia="宋体"/>
                <w:lang w:val="en-US" w:eastAsia="zh-CN"/>
              </w:rPr>
            </w:pPr>
            <w:r>
              <w:rPr>
                <w:rFonts w:hint="eastAsia" w:eastAsia="宋体"/>
                <w:lang w:val="en-US" w:eastAsia="zh-CN"/>
              </w:rPr>
              <w:t>6、化学品泄露率为0</w:t>
            </w:r>
          </w:p>
          <w:p>
            <w:pPr>
              <w:pStyle w:val="2"/>
              <w:rPr>
                <w:rFonts w:hint="eastAsia" w:asciiTheme="minorEastAsia" w:hAnsiTheme="minorEastAsia" w:eastAsiaTheme="minorEastAsia"/>
                <w:szCs w:val="24"/>
              </w:rPr>
            </w:pPr>
            <w:r>
              <w:rPr>
                <w:rFonts w:hint="eastAsia" w:ascii="宋体" w:hAnsi="宋体" w:cs="宋体"/>
                <w:szCs w:val="21"/>
              </w:rPr>
              <w:t>均达到目标，并将指标进行了各部门的分解。</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资源</w:t>
            </w:r>
          </w:p>
        </w:tc>
        <w:tc>
          <w:tcPr>
            <w:tcW w:w="950"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 </w:t>
            </w:r>
          </w:p>
          <w:p>
            <w:pPr>
              <w:rPr>
                <w:rFonts w:asciiTheme="minorEastAsia" w:hAnsiTheme="minorEastAsia" w:eastAsiaTheme="minorEastAsia"/>
                <w:szCs w:val="24"/>
              </w:rPr>
            </w:pPr>
            <w:r>
              <w:rPr>
                <w:rFonts w:hint="eastAsia" w:asciiTheme="minorEastAsia" w:hAnsiTheme="minorEastAsia" w:eastAsiaTheme="minorEastAsia"/>
                <w:szCs w:val="24"/>
              </w:rPr>
              <w:t>7.1</w:t>
            </w:r>
          </w:p>
        </w:tc>
        <w:tc>
          <w:tcPr>
            <w:tcW w:w="11206" w:type="dxa"/>
            <w:vAlign w:val="center"/>
          </w:tcPr>
          <w:p>
            <w:pPr>
              <w:spacing w:line="360" w:lineRule="auto"/>
              <w:ind w:firstLine="420" w:firstLineChars="200"/>
            </w:pPr>
            <w:r>
              <w:rPr>
                <w:rFonts w:hint="eastAsia"/>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20" w:firstLineChars="200"/>
            </w:pPr>
            <w:r>
              <w:rPr>
                <w:rFonts w:hint="eastAsia"/>
              </w:rPr>
              <w:t>总经理吴承灿主持的今年的管理评审，对方针、目标的适宜性进行了评审，对所需资源进行进行了评审，结论现有资源满足要求。</w:t>
            </w:r>
          </w:p>
          <w:p>
            <w:pPr>
              <w:spacing w:line="360" w:lineRule="auto"/>
              <w:ind w:firstLine="420" w:firstLineChars="200"/>
            </w:pPr>
            <w:r>
              <w:rPr>
                <w:rFonts w:hint="eastAsia"/>
              </w:rPr>
              <w:t>总经理吴承灿说，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高温补助、取暖费）福利费用等投入方面。</w:t>
            </w:r>
          </w:p>
          <w:p>
            <w:pPr>
              <w:spacing w:line="360" w:lineRule="auto"/>
              <w:ind w:firstLine="420" w:firstLineChars="200"/>
              <w:rPr>
                <w:rFonts w:hint="eastAsia" w:eastAsia="宋体"/>
                <w:lang w:eastAsia="zh-CN"/>
              </w:rPr>
            </w:pPr>
            <w:r>
              <w:rPr>
                <w:rFonts w:hint="eastAsia"/>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pPr>
              <w:spacing w:line="360" w:lineRule="auto"/>
              <w:ind w:firstLine="420" w:firstLineChars="200"/>
              <w:rPr>
                <w:rFonts w:hint="eastAsia"/>
              </w:rPr>
            </w:pPr>
            <w:r>
              <w:rPr>
                <w:rFonts w:hint="eastAsia"/>
              </w:rPr>
              <w:t>公司目前的基础设施，能够满足当前环境</w:t>
            </w:r>
            <w:r>
              <w:rPr>
                <w:rFonts w:hint="eastAsia"/>
                <w:lang w:val="en-US" w:eastAsia="zh-CN"/>
              </w:rPr>
              <w:t>管理</w:t>
            </w:r>
            <w:r>
              <w:rPr>
                <w:rFonts w:hint="eastAsia"/>
              </w:rPr>
              <w:t>体系的要求。公司将依据经营发展的需要，会不断补充与增加。</w:t>
            </w:r>
          </w:p>
          <w:p>
            <w:pPr>
              <w:spacing w:line="360" w:lineRule="auto"/>
              <w:ind w:firstLine="420" w:firstLineChars="200"/>
              <w:rPr>
                <w:rFonts w:hint="default" w:ascii="Times New Roman" w:hAnsi="Times New Roman" w:eastAsia="宋体" w:cs="Times New Roman"/>
                <w:szCs w:val="22"/>
                <w:lang w:val="en-US"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5010785</wp:posOffset>
                  </wp:positionH>
                  <wp:positionV relativeFrom="paragraph">
                    <wp:posOffset>36830</wp:posOffset>
                  </wp:positionV>
                  <wp:extent cx="1941195" cy="2940050"/>
                  <wp:effectExtent l="0" t="0" r="1905" b="6350"/>
                  <wp:wrapNone/>
                  <wp:docPr id="7" name="图片 7" descr="4f372084687b571d10e2b060e95f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f372084687b571d10e2b060e95f579"/>
                          <pic:cNvPicPr>
                            <a:picLocks noChangeAspect="1"/>
                          </pic:cNvPicPr>
                        </pic:nvPicPr>
                        <pic:blipFill>
                          <a:blip r:embed="rId6"/>
                          <a:stretch>
                            <a:fillRect/>
                          </a:stretch>
                        </pic:blipFill>
                        <pic:spPr>
                          <a:xfrm>
                            <a:off x="0" y="0"/>
                            <a:ext cx="1941195" cy="2940050"/>
                          </a:xfrm>
                          <a:prstGeom prst="rect">
                            <a:avLst/>
                          </a:prstGeom>
                        </pic:spPr>
                      </pic:pic>
                    </a:graphicData>
                  </a:graphic>
                </wp:anchor>
              </w:drawing>
            </w:r>
            <w:r>
              <w:rPr>
                <w:rFonts w:hint="eastAsia" w:asciiTheme="minorEastAsia" w:hAnsiTheme="minorEastAsia" w:eastAsiaTheme="minorEastAsia"/>
                <w:szCs w:val="24"/>
                <w:lang w:eastAsia="zh-CN"/>
              </w:rPr>
              <w:drawing>
                <wp:anchor distT="0" distB="0" distL="114300" distR="114300" simplePos="0" relativeHeight="251660288" behindDoc="0" locked="0" layoutInCell="1" allowOverlap="1">
                  <wp:simplePos x="0" y="0"/>
                  <wp:positionH relativeFrom="column">
                    <wp:posOffset>2922905</wp:posOffset>
                  </wp:positionH>
                  <wp:positionV relativeFrom="paragraph">
                    <wp:posOffset>62230</wp:posOffset>
                  </wp:positionV>
                  <wp:extent cx="2051050" cy="2922905"/>
                  <wp:effectExtent l="0" t="0" r="6350" b="10795"/>
                  <wp:wrapNone/>
                  <wp:docPr id="6" name="图片 6" descr="40dda34d61143dfa47b05f0e27540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0dda34d61143dfa47b05f0e275409c"/>
                          <pic:cNvPicPr>
                            <a:picLocks noChangeAspect="1"/>
                          </pic:cNvPicPr>
                        </pic:nvPicPr>
                        <pic:blipFill>
                          <a:blip r:embed="rId7"/>
                          <a:stretch>
                            <a:fillRect/>
                          </a:stretch>
                        </pic:blipFill>
                        <pic:spPr>
                          <a:xfrm>
                            <a:off x="0" y="0"/>
                            <a:ext cx="2051050" cy="2922905"/>
                          </a:xfrm>
                          <a:prstGeom prst="rect">
                            <a:avLst/>
                          </a:prstGeom>
                        </pic:spPr>
                      </pic:pic>
                    </a:graphicData>
                  </a:graphic>
                </wp:anchor>
              </w:drawing>
            </w:r>
            <w:r>
              <w:rPr>
                <w:rFonts w:hint="eastAsia" w:ascii="Times New Roman" w:hAnsi="Times New Roman" w:eastAsia="宋体" w:cs="Times New Roman"/>
                <w:szCs w:val="22"/>
                <w:lang w:val="en-US" w:eastAsia="zh-CN"/>
              </w:rPr>
              <w:t>提供叉车检验报告和行车证</w:t>
            </w:r>
            <w:r>
              <w:rPr>
                <w:rFonts w:hint="eastAsia" w:cs="Times New Roman"/>
                <w:szCs w:val="22"/>
                <w:lang w:val="en-US" w:eastAsia="zh-CN"/>
              </w:rPr>
              <w:t>，均在有效期内。</w:t>
            </w:r>
          </w:p>
          <w:p>
            <w:pPr>
              <w:pStyle w:val="4"/>
              <w:rPr>
                <w:rFonts w:hint="eastAsia" w:asciiTheme="minorEastAsia" w:hAnsiTheme="minorEastAsia" w:eastAsiaTheme="minorEastAsia"/>
                <w:szCs w:val="24"/>
              </w:rPr>
            </w:pPr>
            <w:r>
              <w:rPr>
                <w:rFonts w:hint="eastAsia" w:asciiTheme="minorEastAsia" w:hAnsiTheme="minorEastAsia" w:eastAsiaTheme="minorEastAsia"/>
                <w:szCs w:val="24"/>
                <w:lang w:eastAsia="zh-CN"/>
              </w:rPr>
              <w:drawing>
                <wp:anchor distT="0" distB="0" distL="114300" distR="114300" simplePos="0" relativeHeight="251659264" behindDoc="0" locked="0" layoutInCell="1" allowOverlap="1">
                  <wp:simplePos x="0" y="0"/>
                  <wp:positionH relativeFrom="column">
                    <wp:posOffset>490220</wp:posOffset>
                  </wp:positionH>
                  <wp:positionV relativeFrom="paragraph">
                    <wp:posOffset>-340995</wp:posOffset>
                  </wp:positionV>
                  <wp:extent cx="1565275" cy="2394585"/>
                  <wp:effectExtent l="0" t="0" r="5715" b="9525"/>
                  <wp:wrapNone/>
                  <wp:docPr id="5" name="图片 5" descr="a484539980ae16b6efca59387664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484539980ae16b6efca59387664895"/>
                          <pic:cNvPicPr>
                            <a:picLocks noChangeAspect="1"/>
                          </pic:cNvPicPr>
                        </pic:nvPicPr>
                        <pic:blipFill>
                          <a:blip r:embed="rId8"/>
                          <a:stretch>
                            <a:fillRect/>
                          </a:stretch>
                        </pic:blipFill>
                        <pic:spPr>
                          <a:xfrm rot="5400000">
                            <a:off x="0" y="0"/>
                            <a:ext cx="1565275" cy="2394585"/>
                          </a:xfrm>
                          <a:prstGeom prst="rect">
                            <a:avLst/>
                          </a:prstGeom>
                        </pic:spPr>
                      </pic:pic>
                    </a:graphicData>
                  </a:graphic>
                </wp:anchor>
              </w:drawing>
            </w:r>
          </w:p>
          <w:p>
            <w:pPr>
              <w:pStyle w:val="4"/>
              <w:rPr>
                <w:rFonts w:hint="eastAsia" w:asciiTheme="minorEastAsia" w:hAnsiTheme="minorEastAsia" w:eastAsiaTheme="minorEastAsia"/>
                <w:szCs w:val="24"/>
                <w:lang w:eastAsia="zh-CN"/>
              </w:rPr>
            </w:pPr>
          </w:p>
          <w:p>
            <w:pPr>
              <w:pStyle w:val="4"/>
              <w:rPr>
                <w:rFonts w:hint="eastAsia" w:asciiTheme="minorEastAsia" w:hAnsiTheme="minorEastAsia" w:eastAsiaTheme="minorEastAsia"/>
                <w:szCs w:val="24"/>
                <w:lang w:eastAsia="zh-CN"/>
              </w:rPr>
            </w:pPr>
          </w:p>
          <w:p>
            <w:pPr>
              <w:pStyle w:val="4"/>
              <w:rPr>
                <w:rFonts w:hint="eastAsia" w:asciiTheme="minorEastAsia" w:hAnsiTheme="minorEastAsia" w:eastAsiaTheme="minorEastAsia"/>
                <w:szCs w:val="24"/>
              </w:rPr>
            </w:pPr>
          </w:p>
          <w:p>
            <w:pPr>
              <w:pStyle w:val="4"/>
              <w:rPr>
                <w:rFonts w:hint="eastAsia" w:asciiTheme="minorEastAsia" w:hAnsiTheme="minorEastAsia" w:eastAsiaTheme="minorEastAsia"/>
                <w:szCs w:val="24"/>
                <w:lang w:eastAsia="zh-CN"/>
              </w:rPr>
            </w:pPr>
          </w:p>
          <w:p>
            <w:pPr>
              <w:pStyle w:val="4"/>
              <w:rPr>
                <w:rFonts w:hint="eastAsia" w:asciiTheme="minorEastAsia" w:hAnsiTheme="minorEastAsia" w:eastAsiaTheme="minorEastAsia"/>
                <w:szCs w:val="24"/>
              </w:rPr>
            </w:pPr>
          </w:p>
          <w:p>
            <w:pPr>
              <w:pStyle w:val="4"/>
              <w:rPr>
                <w:rFonts w:hint="eastAsia" w:asciiTheme="minorEastAsia" w:hAnsiTheme="minorEastAsia" w:eastAsiaTheme="minorEastAsia"/>
                <w:szCs w:val="24"/>
              </w:rPr>
            </w:pPr>
          </w:p>
          <w:p>
            <w:pPr>
              <w:pStyle w:val="4"/>
              <w:rPr>
                <w:rFonts w:hint="eastAsia" w:asciiTheme="minorEastAsia" w:hAnsiTheme="minorEastAsia" w:eastAsiaTheme="minorEastAsia"/>
                <w:szCs w:val="24"/>
              </w:rPr>
            </w:pPr>
          </w:p>
          <w:p>
            <w:pPr>
              <w:pStyle w:val="4"/>
              <w:rPr>
                <w:rFonts w:hint="eastAsia" w:asciiTheme="minorEastAsia" w:hAnsiTheme="minorEastAsia" w:eastAsiaTheme="minorEastAsia"/>
                <w:szCs w:val="24"/>
              </w:rPr>
            </w:pPr>
          </w:p>
          <w:p>
            <w:pPr>
              <w:pStyle w:val="4"/>
              <w:rPr>
                <w:rFonts w:hint="eastAsia" w:asciiTheme="minorEastAsia" w:hAnsiTheme="minorEastAsia" w:eastAsiaTheme="minorEastAsia"/>
                <w:szCs w:val="24"/>
              </w:rPr>
            </w:pPr>
          </w:p>
          <w:p>
            <w:pPr>
              <w:pStyle w:val="4"/>
              <w:rPr>
                <w:rFonts w:hint="eastAsia" w:asciiTheme="minorEastAsia" w:hAnsiTheme="minorEastAsia" w:eastAsiaTheme="minorEastAsia"/>
                <w:szCs w:val="24"/>
              </w:rPr>
            </w:pPr>
          </w:p>
          <w:p>
            <w:pPr>
              <w:pStyle w:val="4"/>
              <w:ind w:left="0" w:leftChars="0" w:firstLine="0" w:firstLineChars="0"/>
              <w:rPr>
                <w:rFonts w:hint="eastAsia" w:asciiTheme="minorEastAsia" w:hAnsiTheme="minorEastAsia" w:eastAsiaTheme="minorEastAsia"/>
                <w:szCs w:val="24"/>
              </w:rPr>
            </w:pP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07"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信息交流</w:t>
            </w:r>
          </w:p>
        </w:tc>
        <w:tc>
          <w:tcPr>
            <w:tcW w:w="950"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 xml:space="preserve">7.4  </w:t>
            </w:r>
          </w:p>
          <w:p>
            <w:pPr>
              <w:rPr>
                <w:rFonts w:asciiTheme="minorEastAsia" w:hAnsiTheme="minorEastAsia" w:eastAsiaTheme="minorEastAsia"/>
                <w:szCs w:val="24"/>
              </w:rPr>
            </w:pPr>
            <w:r>
              <w:rPr>
                <w:rFonts w:hint="eastAsia" w:asciiTheme="minorEastAsia" w:hAnsiTheme="minorEastAsia" w:eastAsiaTheme="minorEastAsia"/>
                <w:szCs w:val="24"/>
              </w:rPr>
              <w:t xml:space="preserve"> </w:t>
            </w: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编制了《 信息交流控制程序》，规定：组织在各部门之间建立了与体系有关的信息通渠沟道，借助于会议、电话、口头交流等方式使全体员工达到沟通和理解。目前各部门协调一致，工作上的借口基本理顺。</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总经理吴承灿定期主持经营办公例会，分析公司的发展、市场情况和体系运行是否有效，管理目标完成情况，满足顾客要求和法规程度，改进建议等内部管理存在问题等。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总经理吴承灿为协商、参与提供了时间、机会、培训、资源等保障，明确了沟通、协商、参与渠道，消除了障碍和壁垒。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现场查见会议记录、培训记录、文件签收等组织内部培训方式相关记录。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综合部是内外部信息交流的中心，通过会议、邮件、培训等形式进行内部交流，向外部接收各种文件传递各种报表，外部沟通联络的部门有环保部门、劳动部门、消防安全部门、质监部门、安监部门及合同方等。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20" w:firstLineChars="200"/>
              <w:rPr>
                <w:rFonts w:ascii="宋体" w:hAnsi="宋体" w:cs="宋体"/>
                <w:szCs w:val="21"/>
              </w:rPr>
            </w:pPr>
            <w:r>
              <w:rPr>
                <w:rFonts w:hint="eastAsia" w:asciiTheme="minorEastAsia" w:hAnsiTheme="minorEastAsia" w:eastAsiaTheme="minorEastAsia"/>
                <w:szCs w:val="24"/>
              </w:rPr>
              <w:t>经交流：目前与环保、劳动、消防、安监部门的信息交流主要是参加会议、接收来文、电话、邮件等，均按要求予以传达和落实，沟通情况较好。</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950" w:type="dxa"/>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color w:val="000000" w:themeColor="text1"/>
                <w:szCs w:val="21"/>
              </w:rPr>
            </w:pPr>
            <w:r>
              <w:rPr>
                <w:rFonts w:hint="eastAsia" w:asciiTheme="minorEastAsia" w:hAnsiTheme="minorEastAsia" w:eastAsiaTheme="minorEastAsia"/>
                <w:szCs w:val="24"/>
              </w:rPr>
              <w:t>E：</w:t>
            </w: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公司编制并实施《管理评审控制程序》，规定管理评审每年至少进行一次，根据具体情况可以增加，增加审核由综合部提出审核计划，报管理者代表批准后实施。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查阅公司管理评审资料，提供：</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管理评审计划</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评审时间：</w:t>
            </w:r>
            <w:r>
              <w:rPr>
                <w:rFonts w:hint="eastAsia" w:cs="Times New Roman" w:asciiTheme="minorEastAsia" w:hAnsiTheme="minorEastAsia" w:eastAsiaTheme="minorEastAsia"/>
                <w:szCs w:val="24"/>
              </w:rPr>
              <w:t xml:space="preserve"> 20</w:t>
            </w:r>
            <w:r>
              <w:rPr>
                <w:rFonts w:hint="eastAsia" w:cs="Times New Roman" w:asciiTheme="minorEastAsia" w:hAnsiTheme="minorEastAsia" w:eastAsiaTheme="minorEastAsia"/>
                <w:szCs w:val="24"/>
                <w:lang w:val="en-US" w:eastAsia="zh-CN"/>
              </w:rPr>
              <w:t>21年5月28</w:t>
            </w:r>
            <w:r>
              <w:rPr>
                <w:rFonts w:hint="eastAsia" w:cs="Times New Roman" w:asciiTheme="minorEastAsia" w:hAnsiTheme="minorEastAsia" w:eastAsiaTheme="minorEastAsia"/>
                <w:szCs w:val="24"/>
              </w:rPr>
              <w:t>日</w:t>
            </w:r>
            <w:r>
              <w:rPr>
                <w:rFonts w:hint="eastAsia" w:asciiTheme="minorEastAsia" w:hAnsiTheme="minorEastAsia" w:eastAsiaTheme="minorEastAsia"/>
                <w:szCs w:val="24"/>
              </w:rPr>
              <w:t>，评审方式：会议评审，查《管理评审计划》，编制：高海娟 ，审核：孙建新  批准：吴承灿。参加人员：总经理、管代及各部门负责人，计划中明确了评审内容和资料准备要求。</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管理评审会议记录</w:t>
            </w:r>
            <w:r>
              <w:rPr>
                <w:rFonts w:hint="eastAsia" w:asciiTheme="minorEastAsia" w:hAnsiTheme="minorEastAsia" w:eastAsiaTheme="minorEastAsia"/>
                <w:szCs w:val="24"/>
                <w:lang w:eastAsia="zh-CN"/>
              </w:rPr>
              <w:t>：</w:t>
            </w:r>
            <w:r>
              <w:rPr>
                <w:rFonts w:hint="eastAsia" w:cs="Times New Roman" w:asciiTheme="minorEastAsia" w:hAnsiTheme="minorEastAsia" w:eastAsiaTheme="minorEastAsia"/>
                <w:szCs w:val="24"/>
              </w:rPr>
              <w:t>20</w:t>
            </w:r>
            <w:r>
              <w:rPr>
                <w:rFonts w:hint="eastAsia" w:cs="Times New Roman" w:asciiTheme="minorEastAsia" w:hAnsiTheme="minorEastAsia" w:eastAsiaTheme="minorEastAsia"/>
                <w:szCs w:val="24"/>
                <w:lang w:val="en-US" w:eastAsia="zh-CN"/>
              </w:rPr>
              <w:t>21年5月28</w:t>
            </w:r>
            <w:r>
              <w:rPr>
                <w:rFonts w:hint="eastAsia" w:cs="Times New Roman" w:asciiTheme="minorEastAsia" w:hAnsiTheme="minorEastAsia" w:eastAsiaTheme="minorEastAsia"/>
                <w:szCs w:val="24"/>
              </w:rPr>
              <w:t>日</w:t>
            </w:r>
            <w:r>
              <w:rPr>
                <w:rFonts w:hint="eastAsia" w:asciiTheme="minorEastAsia" w:hAnsiTheme="minorEastAsia" w:eastAsiaTheme="minorEastAsia"/>
                <w:szCs w:val="24"/>
              </w:rPr>
              <w:t xml:space="preserve">8：00-12：00在公司会议室，由吴承灿主持人， 参加人员：管代  各部门主管。  </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管理评审内容包括：内审结果；环境方针、目标的可行性及实现情况等。</w:t>
            </w:r>
          </w:p>
          <w:p>
            <w:pPr>
              <w:spacing w:line="360" w:lineRule="auto"/>
              <w:rPr>
                <w:color w:val="000000" w:themeColor="text1"/>
              </w:rPr>
            </w:pPr>
            <w:r>
              <w:rPr>
                <w:rFonts w:hint="eastAsia"/>
                <w:color w:val="000000" w:themeColor="text1"/>
              </w:rPr>
              <w:t>管理评审会议结论：公司建立的环境管理体系方针和目标策划到位，编制的环境管理体系文件符合标准要求且有效运行，公司生产过程中产生的废切削液、固废、油棉纱、油手套都得到了有效的存放和回收，未造成环境污染。</w:t>
            </w:r>
            <w:r>
              <w:rPr>
                <w:rFonts w:hint="eastAsia"/>
                <w:color w:val="000000" w:themeColor="text1"/>
                <w:lang w:val="en-US" w:eastAsia="zh-CN"/>
              </w:rPr>
              <w:t>2019年管理评审提出的改进建议已经落实，</w:t>
            </w:r>
            <w:r>
              <w:rPr>
                <w:rFonts w:hint="eastAsia"/>
                <w:color w:val="000000" w:themeColor="text1"/>
              </w:rPr>
              <w:t>达到了环境管理体系运行的目的，验证了整个环境管理体系的实施和运行是处于受控状态，是适宜的、有效的，符合GB/T 24001-2016标准的相关要求及国家法律法规的要求。</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950" w:type="dxa"/>
            <w:vAlign w:val="center"/>
          </w:tcPr>
          <w:p>
            <w:pPr>
              <w:rPr>
                <w:rFonts w:ascii="宋体" w:hAnsi="宋体"/>
                <w:color w:val="000000" w:themeColor="text1"/>
                <w:szCs w:val="21"/>
              </w:rPr>
            </w:pPr>
            <w:r>
              <w:rPr>
                <w:rFonts w:hint="eastAsia" w:ascii="宋体" w:hAnsi="宋体"/>
                <w:color w:val="000000" w:themeColor="text1"/>
                <w:szCs w:val="21"/>
              </w:rPr>
              <w:t>10.1、10.3</w:t>
            </w:r>
          </w:p>
          <w:p>
            <w:pPr>
              <w:rPr>
                <w:rFonts w:ascii="宋体" w:hAnsi="宋体"/>
                <w:color w:val="000000" w:themeColor="text1"/>
                <w:szCs w:val="21"/>
              </w:rPr>
            </w:pPr>
          </w:p>
        </w:tc>
        <w:tc>
          <w:tcPr>
            <w:tcW w:w="11206"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者代表根据总经理意图组织持续改进过程的策划工作，由综合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pPr>
              <w:spacing w:line="360" w:lineRule="auto"/>
              <w:ind w:firstLine="420" w:firstLineChars="200"/>
            </w:pPr>
            <w:r>
              <w:rPr>
                <w:rFonts w:hint="eastAsia" w:asciiTheme="minorEastAsia" w:hAnsiTheme="minorEastAsia" w:eastAsiaTheme="minorEastAsia"/>
                <w:szCs w:val="24"/>
              </w:rPr>
              <w:t>自体系运行以来，全员的质量意识、服务意识、环保意识有较大的提高，市场经营规模有了较大发展，持续改进了管理体系的有效性。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rPr>
                <w:rFonts w:ascii="宋体" w:hAnsi="宋体"/>
                <w:color w:val="000000" w:themeColor="text1"/>
                <w:szCs w:val="21"/>
              </w:rPr>
            </w:pPr>
            <w:r>
              <w:rPr>
                <w:rFonts w:hint="eastAsia"/>
                <w:sz w:val="21"/>
                <w:szCs w:val="21"/>
              </w:rPr>
              <w:t>对</w:t>
            </w:r>
            <w:r>
              <w:rPr>
                <w:rFonts w:hint="eastAsia"/>
                <w:sz w:val="21"/>
                <w:szCs w:val="21"/>
                <w:lang w:val="en-US" w:eastAsia="zh-CN"/>
              </w:rPr>
              <w:t>上次审核</w:t>
            </w:r>
            <w:r>
              <w:rPr>
                <w:rFonts w:hint="eastAsia"/>
                <w:sz w:val="21"/>
                <w:szCs w:val="21"/>
              </w:rPr>
              <w:t>问题整改情况的确认；</w:t>
            </w:r>
          </w:p>
        </w:tc>
        <w:tc>
          <w:tcPr>
            <w:tcW w:w="950" w:type="dxa"/>
            <w:vAlign w:val="center"/>
          </w:tcPr>
          <w:p>
            <w:pPr>
              <w:rPr>
                <w:rFonts w:ascii="宋体" w:hAnsi="宋体"/>
                <w:color w:val="000000" w:themeColor="text1"/>
                <w:szCs w:val="21"/>
              </w:rPr>
            </w:pPr>
          </w:p>
        </w:tc>
        <w:tc>
          <w:tcPr>
            <w:tcW w:w="11206" w:type="dxa"/>
            <w:vAlign w:val="center"/>
          </w:tcPr>
          <w:p>
            <w:pPr>
              <w:spacing w:line="360" w:lineRule="auto"/>
              <w:rPr>
                <w:rFonts w:hint="eastAsia" w:asciiTheme="minorEastAsia" w:hAnsiTheme="minorEastAsia" w:eastAsiaTheme="minorEastAsia"/>
                <w:szCs w:val="24"/>
              </w:rPr>
            </w:pPr>
            <w:r>
              <w:rPr>
                <w:rFonts w:hint="eastAsia" w:ascii="宋体" w:hAnsi="宋体"/>
                <w:color w:val="000000" w:themeColor="text1"/>
                <w:szCs w:val="21"/>
                <w:lang w:val="en-US" w:eastAsia="zh-CN"/>
              </w:rPr>
              <w:t>2020年</w:t>
            </w:r>
            <w:r>
              <w:rPr>
                <w:rFonts w:hint="eastAsia" w:ascii="宋体" w:hAnsi="宋体"/>
                <w:color w:val="000000" w:themeColor="text1"/>
                <w:szCs w:val="21"/>
              </w:rPr>
              <w:t>审核时发现的问题，经现场验证已关闭，整改措施有效。</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rPr>
                <w:rFonts w:hint="eastAsia"/>
                <w:sz w:val="21"/>
                <w:szCs w:val="21"/>
              </w:rPr>
            </w:pPr>
            <w:r>
              <w:rPr>
                <w:rFonts w:hint="eastAsia"/>
                <w:sz w:val="21"/>
                <w:szCs w:val="21"/>
              </w:rPr>
              <w:t>事故事件及起处理情况，环境安全监测情况、使用情况等</w:t>
            </w:r>
            <w:r>
              <w:rPr>
                <w:rFonts w:hint="eastAsia"/>
                <w:sz w:val="21"/>
                <w:szCs w:val="21"/>
                <w:lang w:eastAsia="zh-CN"/>
              </w:rPr>
              <w:t>，</w:t>
            </w:r>
          </w:p>
        </w:tc>
        <w:tc>
          <w:tcPr>
            <w:tcW w:w="950" w:type="dxa"/>
            <w:vAlign w:val="center"/>
          </w:tcPr>
          <w:p>
            <w:pPr>
              <w:rPr>
                <w:rFonts w:ascii="宋体" w:hAnsi="宋体"/>
                <w:color w:val="000000" w:themeColor="text1"/>
                <w:szCs w:val="21"/>
              </w:rPr>
            </w:pPr>
          </w:p>
        </w:tc>
        <w:tc>
          <w:tcPr>
            <w:tcW w:w="11206" w:type="dxa"/>
            <w:vAlign w:val="center"/>
          </w:tcPr>
          <w:p>
            <w:pPr>
              <w:spacing w:line="360" w:lineRule="auto"/>
            </w:pPr>
            <w:r>
              <w:rPr>
                <w:rFonts w:hint="eastAsia"/>
              </w:rPr>
              <w:t>自公司成立以来，未受到上级主管部门有关质量、环境问题、职业健康安全的行政处罚。未发生相关方的投诉。</w:t>
            </w:r>
          </w:p>
          <w:p>
            <w:pPr>
              <w:spacing w:line="360" w:lineRule="auto"/>
              <w:rPr>
                <w:rFonts w:hint="eastAsia"/>
              </w:rPr>
            </w:pPr>
            <w:r>
              <w:rPr>
                <w:rFonts w:hint="eastAsia"/>
              </w:rPr>
              <w:t>目前没有相关行政主管部门的检查处罚，在审核现场也未发现抽查、相关方投诉等情况。</w:t>
            </w:r>
          </w:p>
          <w:p>
            <w:pPr>
              <w:pStyle w:val="2"/>
              <w:rPr>
                <w:rFonts w:hint="default" w:eastAsiaTheme="minorEastAsia"/>
                <w:lang w:val="en-US" w:eastAsia="zh-CN"/>
              </w:rPr>
            </w:pPr>
            <w:r>
              <w:rPr>
                <w:rFonts w:hint="eastAsia" w:asciiTheme="minorEastAsia" w:hAnsiTheme="minorEastAsia" w:eastAsiaTheme="minorEastAsia"/>
                <w:szCs w:val="24"/>
                <w:lang w:val="en-US" w:eastAsia="zh-CN"/>
              </w:rPr>
              <w:t>2021年7月27日对环境进行了监测，结果排放达标。</w:t>
            </w:r>
          </w:p>
        </w:tc>
        <w:tc>
          <w:tcPr>
            <w:tcW w:w="646" w:type="dxa"/>
            <w:vAlign w:val="center"/>
          </w:tcPr>
          <w:p>
            <w:pPr>
              <w:rPr>
                <w:rFonts w:asciiTheme="minorEastAsia" w:hAnsiTheme="minorEastAsia" w:eastAsiaTheme="minorEastAsia"/>
                <w:szCs w:val="24"/>
              </w:rPr>
            </w:pPr>
          </w:p>
        </w:tc>
      </w:tr>
    </w:tbl>
    <w:p>
      <w:bookmarkStart w:id="0" w:name="_GoBack"/>
      <w:bookmarkEnd w:id="0"/>
    </w:p>
    <w:p>
      <w:pPr>
        <w:pStyle w:val="8"/>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336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84C68"/>
    <w:multiLevelType w:val="singleLevel"/>
    <w:tmpl w:val="60884C6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C6DD5"/>
    <w:rsid w:val="00191322"/>
    <w:rsid w:val="001A2D7F"/>
    <w:rsid w:val="001C5D0F"/>
    <w:rsid w:val="00300948"/>
    <w:rsid w:val="00337922"/>
    <w:rsid w:val="00340867"/>
    <w:rsid w:val="00380837"/>
    <w:rsid w:val="003960D7"/>
    <w:rsid w:val="003A198A"/>
    <w:rsid w:val="00410914"/>
    <w:rsid w:val="00536930"/>
    <w:rsid w:val="00545695"/>
    <w:rsid w:val="005524D9"/>
    <w:rsid w:val="00564E53"/>
    <w:rsid w:val="00644FE2"/>
    <w:rsid w:val="0067640C"/>
    <w:rsid w:val="006E678B"/>
    <w:rsid w:val="007757F3"/>
    <w:rsid w:val="007E6AEB"/>
    <w:rsid w:val="008973EE"/>
    <w:rsid w:val="00971600"/>
    <w:rsid w:val="009973B4"/>
    <w:rsid w:val="009A2DE9"/>
    <w:rsid w:val="009C28C1"/>
    <w:rsid w:val="009F7EED"/>
    <w:rsid w:val="00AF0AAB"/>
    <w:rsid w:val="00BF597E"/>
    <w:rsid w:val="00C51A36"/>
    <w:rsid w:val="00C55228"/>
    <w:rsid w:val="00CE315A"/>
    <w:rsid w:val="00D06F59"/>
    <w:rsid w:val="00D8388C"/>
    <w:rsid w:val="00EB0164"/>
    <w:rsid w:val="00ED0F62"/>
    <w:rsid w:val="00F65E95"/>
    <w:rsid w:val="00FC354E"/>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0EB54C3"/>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EEA55DC"/>
    <w:rsid w:val="2F5C7822"/>
    <w:rsid w:val="2FE52113"/>
    <w:rsid w:val="308A61A3"/>
    <w:rsid w:val="31631119"/>
    <w:rsid w:val="32982829"/>
    <w:rsid w:val="330904BA"/>
    <w:rsid w:val="33336053"/>
    <w:rsid w:val="345F4D69"/>
    <w:rsid w:val="34B30427"/>
    <w:rsid w:val="35EB5546"/>
    <w:rsid w:val="363E01D0"/>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9592E11"/>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8143130"/>
    <w:rsid w:val="79631AFD"/>
    <w:rsid w:val="7A8D6040"/>
    <w:rsid w:val="7BDD4178"/>
    <w:rsid w:val="7C5A28BF"/>
    <w:rsid w:val="7E42085A"/>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99"/>
    <w:pPr>
      <w:spacing w:line="420" w:lineRule="exact"/>
    </w:pPr>
    <w:rPr>
      <w:sz w:val="24"/>
    </w:rPr>
  </w:style>
  <w:style w:type="paragraph" w:styleId="6">
    <w:name w:val="Body Text Indent"/>
    <w:basedOn w:val="1"/>
    <w:qFormat/>
    <w:uiPriority w:val="0"/>
    <w:pPr>
      <w:ind w:firstLine="480" w:firstLineChars="200"/>
    </w:pPr>
    <w:rPr>
      <w:sz w:val="24"/>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qFormat/>
    <w:uiPriority w:val="99"/>
    <w:rPr>
      <w:rFonts w:ascii="Times New Roman" w:hAnsi="Times New Roman" w:eastAsia="宋体" w:cs="Times New Roman"/>
      <w:sz w:val="18"/>
      <w:szCs w:val="18"/>
    </w:rPr>
  </w:style>
  <w:style w:type="character" w:customStyle="1" w:styleId="14">
    <w:name w:val="页脚 Char"/>
    <w:basedOn w:val="11"/>
    <w:link w:val="8"/>
    <w:qFormat/>
    <w:uiPriority w:val="99"/>
    <w:rPr>
      <w:rFonts w:ascii="Times New Roman" w:hAnsi="Times New Roman" w:eastAsia="宋体" w:cs="Times New Roman"/>
      <w:sz w:val="18"/>
      <w:szCs w:val="18"/>
    </w:rPr>
  </w:style>
  <w:style w:type="character" w:customStyle="1" w:styleId="15">
    <w:name w:val="批注框文本 Char"/>
    <w:basedOn w:val="11"/>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995</Words>
  <Characters>5673</Characters>
  <Lines>47</Lines>
  <Paragraphs>13</Paragraphs>
  <TotalTime>3</TotalTime>
  <ScaleCrop>false</ScaleCrop>
  <LinksUpToDate>false</LinksUpToDate>
  <CharactersWithSpaces>6655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2021-08-15T02:04:20Z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786D4853728745CBB76BA64C4BB08A4C</vt:lpwstr>
  </property>
</Properties>
</file>