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石家庄越陌软件开发有限公司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殷伟亚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吉洁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2" w:name="审核日期"/>
            <w:r>
              <w:rPr>
                <w:color w:val="000000"/>
              </w:rPr>
              <w:t>2021年08月12日 上午至2021年08月12日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1-1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/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计算机软硬件技术研发与销售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3" w:name="审核范围"/>
            <w:r>
              <w:rPr>
                <w:sz w:val="21"/>
                <w:szCs w:val="21"/>
              </w:rPr>
              <w:t>计算机应用软件的研发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bookmarkStart w:id="4" w:name="注册地址"/>
            <w:r>
              <w:rPr>
                <w:sz w:val="21"/>
                <w:szCs w:val="21"/>
              </w:rPr>
              <w:t>石家庄新华区高柱路13号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5" w:name="生产地址"/>
            <w:r>
              <w:rPr>
                <w:sz w:val="21"/>
                <w:szCs w:val="21"/>
              </w:rPr>
              <w:t>石家庄市中山东路265号东尚东塔24楼2410</w:t>
            </w:r>
            <w:bookmarkEnd w:id="5"/>
            <w:r>
              <w:rPr>
                <w:color w:val="000000"/>
                <w:szCs w:val="21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需求分析→概要设计→详细设计→代码编写→软件测试→技术培训→试运行→产品交付→运行维护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>技术领先，质量卓越，顾客至上，持续改进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adjustRightInd w:val="0"/>
              <w:snapToGrid w:val="0"/>
              <w:spacing w:line="360" w:lineRule="auto"/>
              <w:ind w:left="420" w:firstLine="420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1、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软件开发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一次验收合格率≥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95%；</w:t>
            </w:r>
          </w:p>
          <w:p>
            <w:pPr>
              <w:pStyle w:val="5"/>
              <w:adjustRightInd w:val="0"/>
              <w:snapToGrid w:val="0"/>
              <w:spacing w:line="360" w:lineRule="auto"/>
              <w:ind w:firstLine="836" w:firstLineChars="347"/>
              <w:jc w:val="both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2、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设计按计划完成率≥98%</w:t>
            </w:r>
          </w:p>
          <w:p>
            <w:pPr>
              <w:adjustRightInd w:val="0"/>
              <w:snapToGrid w:val="0"/>
              <w:spacing w:line="360" w:lineRule="auto"/>
              <w:ind w:left="420" w:firstLine="420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3、顾客满意度≥9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%；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  <w:u w:val="single"/>
              </w:rPr>
              <w:t xml:space="preserve">      </w:t>
            </w:r>
          </w:p>
          <w:tbl>
            <w:tblPr>
              <w:tblStyle w:val="6"/>
              <w:tblpPr w:leftFromText="180" w:rightFromText="180" w:vertAnchor="text" w:horzAnchor="page" w:tblpX="1430" w:tblpY="609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8"/>
              <w:gridCol w:w="1511"/>
              <w:gridCol w:w="1389"/>
              <w:gridCol w:w="4119"/>
              <w:gridCol w:w="1466"/>
              <w:gridCol w:w="1517"/>
              <w:gridCol w:w="1695"/>
              <w:gridCol w:w="16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20" w:hRule="atLeast"/>
              </w:trPr>
              <w:tc>
                <w:tcPr>
                  <w:tcW w:w="82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楷体"/>
                      <w:color w:val="000000"/>
                    </w:rPr>
                  </w:pPr>
                  <w:r>
                    <w:rPr>
                      <w:rFonts w:hAnsi="楷体" w:eastAsia="楷体"/>
                      <w:color w:val="000000"/>
                    </w:rPr>
                    <w:t>序号</w:t>
                  </w:r>
                </w:p>
              </w:tc>
              <w:tc>
                <w:tcPr>
                  <w:tcW w:w="1511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楷体"/>
                      <w:color w:val="000000"/>
                    </w:rPr>
                  </w:pPr>
                  <w:r>
                    <w:rPr>
                      <w:rFonts w:hAnsi="楷体" w:eastAsia="楷体"/>
                      <w:color w:val="000000"/>
                    </w:rPr>
                    <w:t>部门</w:t>
                  </w:r>
                </w:p>
              </w:tc>
              <w:tc>
                <w:tcPr>
                  <w:tcW w:w="1389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楷体"/>
                      <w:color w:val="000000"/>
                    </w:rPr>
                  </w:pPr>
                  <w:r>
                    <w:rPr>
                      <w:rFonts w:hAnsi="楷体" w:eastAsia="楷体"/>
                      <w:color w:val="000000"/>
                    </w:rPr>
                    <w:t>频次</w:t>
                  </w:r>
                </w:p>
              </w:tc>
              <w:tc>
                <w:tcPr>
                  <w:tcW w:w="4119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楷体"/>
                      <w:color w:val="000000"/>
                    </w:rPr>
                  </w:pPr>
                  <w:r>
                    <w:rPr>
                      <w:rFonts w:hAnsi="楷体" w:eastAsia="楷体"/>
                      <w:color w:val="000000"/>
                    </w:rPr>
                    <w:t>目标设置</w:t>
                  </w:r>
                </w:p>
              </w:tc>
              <w:tc>
                <w:tcPr>
                  <w:tcW w:w="6327" w:type="dxa"/>
                  <w:gridSpan w:val="4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楷体"/>
                      <w:color w:val="000000"/>
                    </w:rPr>
                  </w:pPr>
                  <w:r>
                    <w:rPr>
                      <w:rFonts w:hAnsi="楷体" w:eastAsia="楷体"/>
                      <w:color w:val="000000"/>
                    </w:rPr>
                    <w:t>考核结果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4" w:hRule="atLeast"/>
              </w:trPr>
              <w:tc>
                <w:tcPr>
                  <w:tcW w:w="828" w:type="dxa"/>
                  <w:vMerge w:val="restart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eastAsia="楷体"/>
                      <w:szCs w:val="21"/>
                    </w:rPr>
                  </w:pPr>
                  <w:r>
                    <w:rPr>
                      <w:rFonts w:hint="eastAsia" w:eastAsia="楷体"/>
                      <w:szCs w:val="21"/>
                    </w:rPr>
                    <w:t>1.</w:t>
                  </w:r>
                </w:p>
              </w:tc>
              <w:tc>
                <w:tcPr>
                  <w:tcW w:w="1511" w:type="dxa"/>
                  <w:vMerge w:val="restart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楷体"/>
                      <w:szCs w:val="21"/>
                      <w:lang w:eastAsia="zh-CN"/>
                    </w:rPr>
                  </w:pPr>
                  <w:r>
                    <w:rPr>
                      <w:rFonts w:hint="eastAsia" w:eastAsia="楷体"/>
                      <w:szCs w:val="21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389" w:type="dxa"/>
                  <w:vMerge w:val="restart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楷体"/>
                      <w:szCs w:val="21"/>
                    </w:rPr>
                  </w:pPr>
                  <w:r>
                    <w:rPr>
                      <w:rFonts w:hAnsi="楷体" w:eastAsia="楷体"/>
                      <w:szCs w:val="21"/>
                    </w:rPr>
                    <w:t>按季度考核</w:t>
                  </w:r>
                </w:p>
              </w:tc>
              <w:tc>
                <w:tcPr>
                  <w:tcW w:w="4119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</w:rPr>
                    <w:t>培训计划实施率100%</w:t>
                  </w:r>
                </w:p>
              </w:tc>
              <w:tc>
                <w:tcPr>
                  <w:tcW w:w="1466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eastAsia="楷体"/>
                    </w:rPr>
                  </w:pPr>
                  <w:r>
                    <w:rPr>
                      <w:rFonts w:eastAsia="楷体"/>
                    </w:rPr>
                    <w:t>100%</w:t>
                  </w:r>
                </w:p>
              </w:tc>
              <w:tc>
                <w:tcPr>
                  <w:tcW w:w="1517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eastAsia="楷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eastAsia="楷体"/>
                    </w:rPr>
                    <w:t>100%</w:t>
                  </w:r>
                </w:p>
              </w:tc>
              <w:tc>
                <w:tcPr>
                  <w:tcW w:w="1695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eastAsia="楷体"/>
                    </w:rPr>
                  </w:pPr>
                </w:p>
              </w:tc>
              <w:tc>
                <w:tcPr>
                  <w:tcW w:w="1649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eastAsia="楷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87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auto"/>
                    <w:jc w:val="center"/>
                    <w:rPr>
                      <w:rFonts w:eastAsia="楷体"/>
                      <w:szCs w:val="21"/>
                    </w:rPr>
                  </w:pPr>
                </w:p>
              </w:tc>
              <w:tc>
                <w:tcPr>
                  <w:tcW w:w="1511" w:type="dxa"/>
                  <w:vMerge w:val="continue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楷体"/>
                      <w:szCs w:val="21"/>
                    </w:rPr>
                  </w:pPr>
                </w:p>
              </w:tc>
              <w:tc>
                <w:tcPr>
                  <w:tcW w:w="1389" w:type="dxa"/>
                  <w:vMerge w:val="continue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楷体"/>
                      <w:szCs w:val="21"/>
                    </w:rPr>
                  </w:pPr>
                </w:p>
              </w:tc>
              <w:tc>
                <w:tcPr>
                  <w:tcW w:w="4119" w:type="dxa"/>
                  <w:noWrap w:val="0"/>
                  <w:vAlign w:val="center"/>
                </w:tcPr>
                <w:p>
                  <w:pPr>
                    <w:jc w:val="left"/>
                    <w:rPr>
                      <w:rFonts w:ascii="楷体" w:hAnsi="楷体" w:eastAsia="楷体"/>
                    </w:rPr>
                  </w:pPr>
                  <w:r>
                    <w:rPr>
                      <w:rFonts w:ascii="楷体" w:hAnsi="楷体" w:eastAsia="楷体"/>
                    </w:rPr>
                    <w:t>及时处理顾客反馈信息率100%。</w:t>
                  </w:r>
                </w:p>
              </w:tc>
              <w:tc>
                <w:tcPr>
                  <w:tcW w:w="1466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eastAsia="楷体"/>
                    </w:rPr>
                  </w:pPr>
                  <w:r>
                    <w:rPr>
                      <w:rFonts w:eastAsia="楷体"/>
                    </w:rPr>
                    <w:t>100%</w:t>
                  </w:r>
                </w:p>
              </w:tc>
              <w:tc>
                <w:tcPr>
                  <w:tcW w:w="1517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eastAsia="楷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eastAsia="楷体"/>
                    </w:rPr>
                    <w:t>100%</w:t>
                  </w:r>
                </w:p>
              </w:tc>
              <w:tc>
                <w:tcPr>
                  <w:tcW w:w="1695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eastAsia="楷体"/>
                    </w:rPr>
                  </w:pPr>
                </w:p>
              </w:tc>
              <w:tc>
                <w:tcPr>
                  <w:tcW w:w="1649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eastAsia="楷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87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楷体"/>
                      <w:szCs w:val="21"/>
                    </w:rPr>
                  </w:pPr>
                </w:p>
              </w:tc>
              <w:tc>
                <w:tcPr>
                  <w:tcW w:w="1511" w:type="dxa"/>
                  <w:vMerge w:val="continue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hAnsi="楷体" w:eastAsia="楷体"/>
                      <w:szCs w:val="21"/>
                    </w:rPr>
                  </w:pPr>
                </w:p>
              </w:tc>
              <w:tc>
                <w:tcPr>
                  <w:tcW w:w="1389" w:type="dxa"/>
                  <w:vMerge w:val="continue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Ansi="楷体" w:eastAsia="楷体"/>
                      <w:szCs w:val="21"/>
                    </w:rPr>
                  </w:pPr>
                </w:p>
              </w:tc>
              <w:tc>
                <w:tcPr>
                  <w:tcW w:w="4119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顾客满意度≥95％</w:t>
                  </w:r>
                </w:p>
              </w:tc>
              <w:tc>
                <w:tcPr>
                  <w:tcW w:w="1466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eastAsia="楷体"/>
                    </w:rPr>
                  </w:pPr>
                  <w:r>
                    <w:rPr>
                      <w:rFonts w:hint="eastAsia" w:eastAsia="楷体"/>
                    </w:rPr>
                    <w:t>97</w:t>
                  </w:r>
                  <w:r>
                    <w:rPr>
                      <w:rFonts w:eastAsia="楷体"/>
                    </w:rPr>
                    <w:t>%</w:t>
                  </w:r>
                </w:p>
              </w:tc>
              <w:tc>
                <w:tcPr>
                  <w:tcW w:w="1517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eastAsia="楷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eastAsia="楷体"/>
                    </w:rPr>
                    <w:t>97</w:t>
                  </w:r>
                  <w:r>
                    <w:rPr>
                      <w:rFonts w:eastAsia="楷体"/>
                    </w:rPr>
                    <w:t>%</w:t>
                  </w:r>
                </w:p>
              </w:tc>
              <w:tc>
                <w:tcPr>
                  <w:tcW w:w="1695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eastAsia="楷体"/>
                    </w:rPr>
                  </w:pPr>
                </w:p>
              </w:tc>
              <w:tc>
                <w:tcPr>
                  <w:tcW w:w="1649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eastAsia="楷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67" w:hRule="atLeast"/>
              </w:trPr>
              <w:tc>
                <w:tcPr>
                  <w:tcW w:w="828" w:type="dxa"/>
                  <w:vMerge w:val="restart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eastAsia="楷体"/>
                      <w:szCs w:val="21"/>
                    </w:rPr>
                  </w:pPr>
                  <w:r>
                    <w:rPr>
                      <w:rFonts w:hint="eastAsia" w:eastAsia="楷体"/>
                      <w:szCs w:val="21"/>
                    </w:rPr>
                    <w:t>2.</w:t>
                  </w:r>
                </w:p>
              </w:tc>
              <w:tc>
                <w:tcPr>
                  <w:tcW w:w="1511" w:type="dxa"/>
                  <w:vMerge w:val="restart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楷体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楷体"/>
                      <w:szCs w:val="21"/>
                      <w:lang w:val="en-US" w:eastAsia="zh-CN"/>
                    </w:rPr>
                    <w:t>研发部</w:t>
                  </w:r>
                </w:p>
              </w:tc>
              <w:tc>
                <w:tcPr>
                  <w:tcW w:w="1389" w:type="dxa"/>
                  <w:vMerge w:val="restart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楷体"/>
                      <w:szCs w:val="21"/>
                    </w:rPr>
                  </w:pPr>
                  <w:r>
                    <w:rPr>
                      <w:rFonts w:hAnsi="楷体" w:eastAsia="楷体"/>
                      <w:szCs w:val="21"/>
                    </w:rPr>
                    <w:t>按季度考核</w:t>
                  </w:r>
                </w:p>
              </w:tc>
              <w:tc>
                <w:tcPr>
                  <w:tcW w:w="4119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楷体" w:hAnsi="楷体" w:eastAsia="楷体" w:cs="Times New Roman"/>
                    </w:rPr>
                  </w:pPr>
                  <w:r>
                    <w:rPr>
                      <w:rFonts w:hint="eastAsia" w:ascii="楷体" w:hAnsi="楷体" w:eastAsia="楷体" w:cs="Times New Roman"/>
                    </w:rPr>
                    <w:t>软件开发一次验收合格率≥95%</w:t>
                  </w:r>
                </w:p>
              </w:tc>
              <w:tc>
                <w:tcPr>
                  <w:tcW w:w="1466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eastAsia="楷体"/>
                    </w:rPr>
                  </w:pPr>
                  <w:r>
                    <w:rPr>
                      <w:rFonts w:eastAsia="楷体"/>
                    </w:rPr>
                    <w:t>100%</w:t>
                  </w:r>
                </w:p>
              </w:tc>
              <w:tc>
                <w:tcPr>
                  <w:tcW w:w="1517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eastAsia="楷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eastAsia="楷体"/>
                    </w:rPr>
                    <w:t>100%</w:t>
                  </w:r>
                </w:p>
              </w:tc>
              <w:tc>
                <w:tcPr>
                  <w:tcW w:w="1695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eastAsia="楷体"/>
                    </w:rPr>
                  </w:pPr>
                </w:p>
              </w:tc>
              <w:tc>
                <w:tcPr>
                  <w:tcW w:w="1649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eastAsia="楷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67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楷体"/>
                    </w:rPr>
                  </w:pPr>
                </w:p>
              </w:tc>
              <w:tc>
                <w:tcPr>
                  <w:tcW w:w="1511" w:type="dxa"/>
                  <w:vMerge w:val="continue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楷体"/>
                    </w:rPr>
                  </w:pPr>
                </w:p>
              </w:tc>
              <w:tc>
                <w:tcPr>
                  <w:tcW w:w="1389" w:type="dxa"/>
                  <w:vMerge w:val="continue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楷体"/>
                    </w:rPr>
                  </w:pPr>
                </w:p>
              </w:tc>
              <w:tc>
                <w:tcPr>
                  <w:tcW w:w="4119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楷体" w:hAnsi="楷体" w:eastAsia="楷体" w:cs="Times New Roman"/>
                    </w:rPr>
                  </w:pPr>
                  <w:r>
                    <w:rPr>
                      <w:rFonts w:hint="eastAsia" w:ascii="楷体" w:hAnsi="楷体" w:eastAsia="楷体" w:cs="Times New Roman"/>
                    </w:rPr>
                    <w:t>设计按计划完成率≥98%</w:t>
                  </w:r>
                </w:p>
              </w:tc>
              <w:tc>
                <w:tcPr>
                  <w:tcW w:w="1466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eastAsia="楷体"/>
                    </w:rPr>
                  </w:pPr>
                  <w:r>
                    <w:rPr>
                      <w:rFonts w:eastAsia="楷体"/>
                    </w:rPr>
                    <w:t>100%</w:t>
                  </w:r>
                </w:p>
              </w:tc>
              <w:tc>
                <w:tcPr>
                  <w:tcW w:w="1517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eastAsia="楷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eastAsia="楷体"/>
                    </w:rPr>
                    <w:t>100%</w:t>
                  </w:r>
                </w:p>
              </w:tc>
              <w:tc>
                <w:tcPr>
                  <w:tcW w:w="1695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eastAsia="楷体"/>
                    </w:rPr>
                  </w:pPr>
                </w:p>
              </w:tc>
              <w:tc>
                <w:tcPr>
                  <w:tcW w:w="1649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eastAsia="楷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67" w:hRule="atLeast"/>
              </w:trPr>
              <w:tc>
                <w:tcPr>
                  <w:tcW w:w="7847" w:type="dxa"/>
                  <w:gridSpan w:val="4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eastAsia="楷体"/>
                    </w:rPr>
                  </w:pPr>
                  <w:r>
                    <w:rPr>
                      <w:rFonts w:hAnsi="楷体" w:eastAsia="楷体"/>
                    </w:rPr>
                    <w:t>考核人</w:t>
                  </w:r>
                </w:p>
              </w:tc>
              <w:tc>
                <w:tcPr>
                  <w:tcW w:w="1466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eastAsia="楷体"/>
                      <w:lang w:val="en-US" w:eastAsia="zh-CN"/>
                    </w:rPr>
                  </w:pPr>
                  <w:r>
                    <w:rPr>
                      <w:rFonts w:hint="eastAsia" w:eastAsia="楷体"/>
                      <w:lang w:val="en-US" w:eastAsia="zh-CN"/>
                    </w:rPr>
                    <w:t>李宁</w:t>
                  </w:r>
                </w:p>
                <w:p>
                  <w:pPr>
                    <w:spacing w:line="360" w:lineRule="auto"/>
                    <w:rPr>
                      <w:rFonts w:eastAsia="楷体"/>
                    </w:rPr>
                  </w:pPr>
                  <w:r>
                    <w:rPr>
                      <w:rFonts w:hint="eastAsia" w:eastAsia="楷体"/>
                    </w:rPr>
                    <w:t>202</w:t>
                  </w:r>
                  <w:r>
                    <w:rPr>
                      <w:rFonts w:hint="eastAsia" w:eastAsia="楷体"/>
                      <w:lang w:val="en-US" w:eastAsia="zh-CN"/>
                    </w:rPr>
                    <w:t>1</w:t>
                  </w:r>
                  <w:r>
                    <w:rPr>
                      <w:rFonts w:hint="eastAsia" w:eastAsia="楷体"/>
                    </w:rPr>
                    <w:t>.3.30</w:t>
                  </w:r>
                </w:p>
              </w:tc>
              <w:tc>
                <w:tcPr>
                  <w:tcW w:w="1517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eastAsia="楷体"/>
                      <w:lang w:val="en-US" w:eastAsia="zh-CN"/>
                    </w:rPr>
                  </w:pPr>
                  <w:r>
                    <w:rPr>
                      <w:rFonts w:hint="eastAsia" w:eastAsia="楷体"/>
                      <w:lang w:val="en-US" w:eastAsia="zh-CN"/>
                    </w:rPr>
                    <w:t>李宁</w:t>
                  </w:r>
                </w:p>
                <w:p>
                  <w:pPr>
                    <w:spacing w:line="360" w:lineRule="auto"/>
                    <w:rPr>
                      <w:rFonts w:eastAsia="楷体"/>
                    </w:rPr>
                  </w:pPr>
                  <w:r>
                    <w:rPr>
                      <w:rFonts w:hint="eastAsia" w:eastAsia="楷体"/>
                    </w:rPr>
                    <w:t>202</w:t>
                  </w:r>
                  <w:r>
                    <w:rPr>
                      <w:rFonts w:hint="eastAsia" w:eastAsia="楷体"/>
                      <w:lang w:val="en-US" w:eastAsia="zh-CN"/>
                    </w:rPr>
                    <w:t>1</w:t>
                  </w:r>
                  <w:r>
                    <w:rPr>
                      <w:rFonts w:hint="eastAsia" w:eastAsia="楷体"/>
                    </w:rPr>
                    <w:t>.</w:t>
                  </w:r>
                  <w:r>
                    <w:rPr>
                      <w:rFonts w:hint="eastAsia" w:eastAsia="楷体"/>
                      <w:lang w:val="en-US" w:eastAsia="zh-CN"/>
                    </w:rPr>
                    <w:t>6</w:t>
                  </w:r>
                  <w:r>
                    <w:rPr>
                      <w:rFonts w:hint="eastAsia" w:eastAsia="楷体"/>
                    </w:rPr>
                    <w:t>.30</w:t>
                  </w:r>
                </w:p>
              </w:tc>
              <w:tc>
                <w:tcPr>
                  <w:tcW w:w="1695" w:type="dxa"/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eastAsia="楷体"/>
                    </w:rPr>
                  </w:pPr>
                </w:p>
              </w:tc>
              <w:tc>
                <w:tcPr>
                  <w:tcW w:w="1649" w:type="dxa"/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Ansi="楷体" w:eastAsia="楷体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需求分析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需求分析</w:t>
            </w:r>
            <w:r>
              <w:rPr>
                <w:color w:val="000000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客户要求、□国际标准、□国家标准、□行业标准、□地方标准、□企业标准、□企业技术规范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</w:t>
            </w:r>
            <w:r>
              <w:rPr>
                <w:rFonts w:hint="eastAsia"/>
                <w:color w:val="000000"/>
                <w:lang w:val="en-US" w:eastAsia="zh-CN"/>
              </w:rPr>
              <w:t>办公</w:t>
            </w:r>
            <w:r>
              <w:rPr>
                <w:rFonts w:hint="eastAsia"/>
                <w:color w:val="000000"/>
              </w:rPr>
              <w:t>区域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bookmarkStart w:id="6" w:name="_GoBack"/>
            <w:r>
              <w:rPr>
                <w:rFonts w:hint="eastAsia"/>
                <w:color w:val="000000"/>
                <w:u w:val="single"/>
                <w:lang w:val="en-US" w:eastAsia="zh-CN"/>
              </w:rPr>
              <w:t>台式电脑、笔记本电脑、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打印机</w:t>
            </w:r>
            <w:bookmarkEnd w:id="6"/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测试软件</w:t>
            </w:r>
            <w:r>
              <w:rPr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无特种设备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其他：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7077B"/>
    <w:multiLevelType w:val="multilevel"/>
    <w:tmpl w:val="0C07077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0F42D3"/>
    <w:rsid w:val="711B15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uiPriority w:val="0"/>
    <w:pPr>
      <w:jc w:val="center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18</TotalTime>
  <ScaleCrop>false</ScaleCrop>
  <LinksUpToDate>false</LinksUpToDate>
  <CharactersWithSpaces>18099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2021-08-18T11:24:23Z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2052-11.1.0.10700</vt:lpwstr>
  </property>
</Properties>
</file>