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391910" cy="8954135"/>
            <wp:effectExtent l="0" t="0" r="8890" b="12065"/>
            <wp:docPr id="2" name="图片 2" descr="7b13d9dd107535c91a9dae777893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b13d9dd107535c91a9dae777893e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895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391910" cy="8936355"/>
            <wp:effectExtent l="0" t="0" r="8890" b="4445"/>
            <wp:docPr id="3" name="图片 3" descr="cfff1ad6a5a8c02a3661ef29b8e51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fff1ad6a5a8c02a3661ef29b8e51d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893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5" w:name="_GoBack"/>
      <w:bookmarkEnd w:id="15"/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hint="default" w:eastAsia="宋体"/>
                <w:b/>
                <w:spacing w:val="-2"/>
                <w:szCs w:val="21"/>
                <w:lang w:val="en-US" w:eastAsia="zh-CN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 xml:space="preserve">初审■第(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河北钢铁集团矿业有限公司石人沟铁矿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李春元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  <w:vAlign w:val="center"/>
          </w:tcPr>
          <w:p>
            <w:pPr>
              <w:spacing w:before="120" w:line="360" w:lineRule="auto"/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设备保障科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2021.8.13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《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法律法规及其他要求》中没有识别GB31336-2014铁矿地下开采单位产品能源消耗限额、GB 31337-2014 铁矿选矿单位产品能源消耗限额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》、河北省主要工序能耗限额。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pacing w:line="240" w:lineRule="exact"/>
              <w:ind w:firstLine="1767" w:firstLineChars="800"/>
              <w:jc w:val="lef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RB/T103-2013 《能源管理体系 钢铁企业认证要求》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  审核组长：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《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法律法规及其他要求》中没有识别GB31336-2014铁矿地下开采单位产品能源消耗限额、GB 31337-2014 铁矿选矿单位产品能源消耗限额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》、河北省主要工序能耗限额。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  <w:r>
              <w:rPr>
                <w:rFonts w:hint="eastAsia" w:eastAsia="方正仿宋简体"/>
                <w:b/>
                <w:lang w:val="en-US" w:eastAsia="zh-CN"/>
              </w:rPr>
              <w:t>从互联网上搜索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《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法律法规及其他要求》中没有识别GB31336-2014铁矿地下开采单位产品能源消耗限额、GB 31337-2014 铁矿选矿单位产品能源消耗限额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》、河北省主要工序能耗限额，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并下载。将上述三个标准/要求列入到</w:t>
            </w:r>
            <w:r>
              <w:rPr>
                <w:rFonts w:hint="eastAsia" w:eastAsia="方正仿宋简体"/>
                <w:b/>
              </w:rPr>
              <w:t>：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《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法律法规及其他要求》中。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snapToGrid w:val="0"/>
              <w:spacing w:line="28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  <w:r>
              <w:rPr>
                <w:rFonts w:hint="eastAsia" w:eastAsia="方正仿宋简体"/>
                <w:b/>
                <w:lang w:val="en-US" w:eastAsia="zh-CN"/>
              </w:rPr>
              <w:t>相关人员对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理解不深刻。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snapToGrid w:val="0"/>
              <w:spacing w:line="28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  <w:r>
              <w:rPr>
                <w:rFonts w:hint="eastAsia" w:eastAsia="方正仿宋简体"/>
                <w:b/>
                <w:lang w:val="en-US" w:eastAsia="zh-CN"/>
              </w:rPr>
              <w:t>对相关人员进行培训，使其理解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的内容。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  <w:r>
              <w:rPr>
                <w:rFonts w:hint="eastAsia" w:eastAsia="方正仿宋简体"/>
                <w:b/>
                <w:lang w:val="en-US" w:eastAsia="zh-CN"/>
              </w:rPr>
              <w:t>检查《法律法规及其他要求清单》已经将“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GB31336-2014铁矿地下开采单位产品能源消耗限额、GB 31337-2014 铁矿选矿单位产品能源消耗限额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》、河北省主要工序能耗限额”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三个标准列入。相关人员已经进行培训，已经了解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的内容。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  <w:r>
              <w:rPr>
                <w:rFonts w:hint="eastAsia" w:eastAsia="方正仿宋简体"/>
                <w:b/>
                <w:lang w:val="en-US" w:eastAsia="zh-CN"/>
              </w:rPr>
              <w:t>纠正及纠正措施有效。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widowControl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《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法律法规及其他要求》中没有识别GB31336-2014铁矿地下开采单位产品能源消耗限额、GB 31337-2014 铁矿选矿单位产品能源消耗限额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》、河北省主要工序能耗限额。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snapToGrid w:val="0"/>
              <w:spacing w:line="28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snapToGrid w:val="0"/>
              <w:spacing w:line="28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59246A"/>
    <w:rsid w:val="60A155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2021-08-12T01:10:39Z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2052-11.1.0.10667</vt:lpwstr>
  </property>
</Properties>
</file>