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852"/>
        <w:gridCol w:w="1013"/>
        <w:gridCol w:w="1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河北钢铁集团矿业有限公司石人沟铁矿</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1"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221"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013" w:type="dxa"/>
            <w:vAlign w:val="center"/>
          </w:tcPr>
          <w:p>
            <w:pPr>
              <w:widowControl/>
              <w:jc w:val="left"/>
              <w:rPr>
                <w:sz w:val="22"/>
                <w:szCs w:val="22"/>
              </w:rPr>
            </w:pPr>
            <w:r>
              <w:rPr>
                <w:rFonts w:hint="eastAsia"/>
                <w:b/>
                <w:sz w:val="22"/>
                <w:szCs w:val="22"/>
              </w:rPr>
              <w:t>合同编号</w:t>
            </w:r>
          </w:p>
        </w:tc>
        <w:tc>
          <w:tcPr>
            <w:tcW w:w="1730"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7" w:name="合同编号"/>
            <w:r>
              <w:rPr>
                <w:rFonts w:hint="eastAsia" w:eastAsia="宋体"/>
                <w:sz w:val="22"/>
                <w:szCs w:val="22"/>
                <w:lang w:val="en-US" w:eastAsia="zh-CN"/>
              </w:rPr>
              <w:t>0811-2021-EnMs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王宁敏</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2021.8.9</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2021.8.12</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EB4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2021-08-08T07:08:07Z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