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过程与活动、</w:t>
            </w:r>
          </w:p>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涉及</w:t>
            </w:r>
          </w:p>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条款</w:t>
            </w:r>
          </w:p>
        </w:tc>
        <w:tc>
          <w:tcPr>
            <w:tcW w:w="1037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rPr>
              <w:t>受审核部门：</w:t>
            </w:r>
            <w:r>
              <w:rPr>
                <w:rFonts w:hint="eastAsia" w:ascii="宋体" w:hAnsi="宋体" w:eastAsia="宋体" w:cs="Times New Roman"/>
                <w:sz w:val="21"/>
                <w:szCs w:val="21"/>
                <w:lang w:val="en-US" w:eastAsia="zh-CN"/>
              </w:rPr>
              <w:t>资产财务部</w:t>
            </w:r>
            <w:r>
              <w:rPr>
                <w:rFonts w:hint="eastAsia" w:ascii="宋体" w:hAnsi="宋体" w:eastAsia="宋体" w:cs="Times New Roman"/>
                <w:sz w:val="21"/>
                <w:szCs w:val="21"/>
              </w:rPr>
              <w:t xml:space="preserve">    主管领导：</w:t>
            </w:r>
            <w:r>
              <w:rPr>
                <w:rFonts w:hint="eastAsia" w:ascii="仿宋_GB2312" w:eastAsia="仿宋_GB2312"/>
                <w:sz w:val="30"/>
                <w:szCs w:val="30"/>
                <w:lang w:eastAsia="zh-CN"/>
              </w:rPr>
              <w:t>张东</w:t>
            </w:r>
            <w:r>
              <w:rPr>
                <w:rFonts w:hint="eastAsia" w:ascii="宋体" w:hAnsi="宋体" w:eastAsia="宋体" w:cs="Times New Roman"/>
                <w:sz w:val="21"/>
                <w:szCs w:val="21"/>
              </w:rPr>
              <w:t xml:space="preserve">     陪同人员：</w:t>
            </w:r>
            <w:r>
              <w:rPr>
                <w:rFonts w:hint="eastAsia" w:ascii="宋体" w:hAnsi="宋体" w:cs="Times New Roman"/>
                <w:sz w:val="21"/>
                <w:szCs w:val="21"/>
                <w:lang w:val="en-US" w:eastAsia="zh-CN"/>
              </w:rPr>
              <w:t>李春元</w:t>
            </w:r>
          </w:p>
        </w:tc>
        <w:tc>
          <w:tcPr>
            <w:tcW w:w="1213"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sz w:val="21"/>
                <w:szCs w:val="21"/>
              </w:rPr>
            </w:pPr>
          </w:p>
        </w:tc>
        <w:tc>
          <w:tcPr>
            <w:tcW w:w="1037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rPr>
              <w:t>审核员：</w:t>
            </w:r>
            <w:r>
              <w:rPr>
                <w:rFonts w:hint="eastAsia" w:ascii="宋体" w:hAnsi="宋体" w:eastAsia="宋体" w:cs="Times New Roman"/>
                <w:sz w:val="21"/>
                <w:szCs w:val="21"/>
                <w:lang w:val="en-US" w:eastAsia="zh-CN"/>
              </w:rPr>
              <w:t>王宁敏</w:t>
            </w:r>
            <w:r>
              <w:rPr>
                <w:rFonts w:hint="eastAsia" w:ascii="宋体" w:hAnsi="宋体" w:eastAsia="宋体" w:cs="Times New Roman"/>
                <w:sz w:val="21"/>
                <w:szCs w:val="21"/>
              </w:rPr>
              <w:t xml:space="preserve">       审核时间：</w:t>
            </w:r>
            <w:r>
              <w:rPr>
                <w:rFonts w:hint="eastAsia" w:ascii="宋体" w:hAnsi="宋体" w:eastAsia="宋体" w:cs="Times New Roman"/>
                <w:sz w:val="21"/>
                <w:szCs w:val="21"/>
                <w:lang w:val="en-US" w:eastAsia="zh-CN"/>
              </w:rPr>
              <w:t>2021-8-</w:t>
            </w:r>
            <w:r>
              <w:rPr>
                <w:rFonts w:hint="eastAsia" w:ascii="宋体" w:hAnsi="宋体" w:cs="Times New Roman"/>
                <w:sz w:val="21"/>
                <w:szCs w:val="21"/>
                <w:lang w:val="en-US" w:eastAsia="zh-CN"/>
              </w:rPr>
              <w:t>10</w:t>
            </w:r>
            <w:r>
              <w:rPr>
                <w:rFonts w:hint="eastAsia" w:ascii="宋体" w:hAnsi="宋体" w:eastAsia="宋体" w:cs="Times New Roman"/>
                <w:sz w:val="21"/>
                <w:szCs w:val="21"/>
                <w:lang w:val="en-US" w:eastAsia="zh-CN"/>
              </w:rPr>
              <w:t xml:space="preserve">   8:00-17:00（其中12:00-13:00午餐）</w:t>
            </w:r>
          </w:p>
        </w:tc>
        <w:tc>
          <w:tcPr>
            <w:tcW w:w="1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sz w:val="21"/>
                <w:szCs w:val="21"/>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sz w:val="21"/>
                <w:szCs w:val="21"/>
              </w:rPr>
            </w:pPr>
          </w:p>
        </w:tc>
        <w:tc>
          <w:tcPr>
            <w:tcW w:w="10376" w:type="dxa"/>
            <w:vAlign w:val="center"/>
          </w:tcPr>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sz w:val="21"/>
                <w:szCs w:val="21"/>
              </w:rPr>
            </w:pPr>
            <w:r>
              <w:rPr>
                <w:rFonts w:hint="eastAsia" w:ascii="宋体" w:hAnsi="宋体" w:eastAsia="宋体" w:cs="Times New Roman"/>
                <w:sz w:val="21"/>
                <w:szCs w:val="21"/>
              </w:rPr>
              <w:t>审核条款：1.</w:t>
            </w:r>
            <w:r>
              <w:rPr>
                <w:rFonts w:hint="eastAsia" w:ascii="宋体" w:hAnsi="宋体" w:eastAsia="宋体" w:cs="Times New Roman"/>
                <w:sz w:val="21"/>
                <w:szCs w:val="21"/>
                <w:lang w:val="en-US" w:eastAsia="zh-CN"/>
              </w:rPr>
              <w:t>组织的岗位、职责和权限、能源</w:t>
            </w:r>
            <w:r>
              <w:rPr>
                <w:rFonts w:hint="eastAsia" w:ascii="宋体" w:hAnsi="宋体" w:eastAsia="宋体" w:cs="Times New Roman"/>
                <w:sz w:val="21"/>
                <w:szCs w:val="21"/>
              </w:rPr>
              <w:t>职责5.3</w:t>
            </w:r>
            <w:r>
              <w:rPr>
                <w:rFonts w:hint="eastAsia" w:ascii="宋体" w:hAnsi="宋体" w:cs="Times New Roman"/>
                <w:sz w:val="21"/>
                <w:szCs w:val="21"/>
                <w:lang w:eastAsia="zh-CN"/>
              </w:rPr>
              <w:t>；</w:t>
            </w:r>
            <w:r>
              <w:rPr>
                <w:rFonts w:hint="eastAsia" w:ascii="宋体" w:hAnsi="宋体" w:cs="Times New Roman"/>
                <w:sz w:val="21"/>
                <w:szCs w:val="21"/>
                <w:lang w:val="en-US" w:eastAsia="zh-CN"/>
              </w:rPr>
              <w:t>2.</w:t>
            </w:r>
            <w:r>
              <w:rPr>
                <w:rFonts w:hint="eastAsia" w:ascii="宋体" w:hAnsi="宋体" w:eastAsia="宋体" w:cs="Times New Roman"/>
                <w:sz w:val="21"/>
                <w:szCs w:val="21"/>
                <w:lang w:val="en-US" w:eastAsia="zh-CN"/>
              </w:rPr>
              <w:t>能源</w:t>
            </w:r>
            <w:r>
              <w:rPr>
                <w:rFonts w:hint="eastAsia" w:ascii="宋体" w:hAnsi="宋体" w:eastAsia="宋体" w:cs="Times New Roman"/>
                <w:sz w:val="21"/>
                <w:szCs w:val="21"/>
              </w:rPr>
              <w:t>管理目标</w:t>
            </w:r>
            <w:r>
              <w:rPr>
                <w:rFonts w:hint="eastAsia" w:ascii="宋体" w:hAnsi="宋体" w:cs="Times New Roman"/>
                <w:sz w:val="21"/>
                <w:szCs w:val="21"/>
                <w:lang w:eastAsia="zh-CN"/>
              </w:rPr>
              <w:t>、</w:t>
            </w:r>
            <w:r>
              <w:rPr>
                <w:rFonts w:hint="eastAsia" w:ascii="宋体" w:hAnsi="宋体" w:cs="Times New Roman"/>
                <w:sz w:val="21"/>
                <w:szCs w:val="21"/>
                <w:lang w:val="en-US" w:eastAsia="zh-CN"/>
              </w:rPr>
              <w:t>指标</w:t>
            </w:r>
            <w:r>
              <w:rPr>
                <w:rFonts w:hint="eastAsia" w:ascii="宋体" w:hAnsi="宋体" w:eastAsia="宋体" w:cs="Times New Roman"/>
                <w:sz w:val="21"/>
                <w:szCs w:val="21"/>
              </w:rPr>
              <w:t>及实现措施策划适宜性</w:t>
            </w:r>
            <w:r>
              <w:rPr>
                <w:rFonts w:hint="eastAsia" w:ascii="宋体" w:hAnsi="宋体" w:cs="Times New Roman"/>
                <w:sz w:val="21"/>
                <w:szCs w:val="21"/>
                <w:lang w:val="en-US" w:eastAsia="zh-CN"/>
              </w:rPr>
              <w:t>6.2</w:t>
            </w:r>
            <w:r>
              <w:rPr>
                <w:rFonts w:hint="eastAsia" w:ascii="宋体" w:hAnsi="宋体"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line="0" w:lineRule="atLeast"/>
              <w:ind w:left="0" w:firstLine="0" w:firstLineChars="0"/>
              <w:jc w:val="left"/>
              <w:textAlignment w:val="auto"/>
              <w:rPr>
                <w:rFonts w:hint="eastAsia" w:ascii="宋体" w:hAnsi="宋体" w:eastAsia="宋体" w:cs="Times New Roman"/>
                <w:sz w:val="21"/>
                <w:szCs w:val="21"/>
              </w:rPr>
            </w:pPr>
            <w:r>
              <w:rPr>
                <w:rFonts w:hint="eastAsia" w:ascii="宋体" w:hAnsi="宋体" w:cs="Times New Roman"/>
                <w:sz w:val="21"/>
                <w:szCs w:val="21"/>
                <w:lang w:val="en-US" w:eastAsia="zh-CN"/>
              </w:rPr>
              <w:t>3.</w:t>
            </w:r>
            <w:r>
              <w:rPr>
                <w:rFonts w:hint="eastAsia" w:ascii="宋体" w:hAnsi="宋体" w:eastAsia="宋体" w:cs="Times New Roman"/>
                <w:sz w:val="21"/>
                <w:szCs w:val="21"/>
                <w:lang w:val="en-US" w:eastAsia="zh-CN"/>
              </w:rPr>
              <w:t xml:space="preserve">运行的策划和控制、能源资金的策划与控制8.1 </w:t>
            </w:r>
            <w:r>
              <w:rPr>
                <w:rFonts w:hint="eastAsia" w:ascii="宋体" w:hAnsi="宋体" w:cs="Times New Roman"/>
                <w:sz w:val="21"/>
                <w:szCs w:val="21"/>
                <w:lang w:val="en-US" w:eastAsia="zh-CN"/>
              </w:rPr>
              <w:t>；4.</w:t>
            </w:r>
            <w:r>
              <w:rPr>
                <w:rFonts w:hint="eastAsia" w:ascii="宋体" w:hAnsi="宋体" w:eastAsia="宋体" w:cs="Times New Roman"/>
                <w:sz w:val="21"/>
                <w:szCs w:val="21"/>
                <w:lang w:val="en-US" w:eastAsia="zh-CN"/>
              </w:rPr>
              <w:t>10.1不符合与纠正措施</w:t>
            </w:r>
            <w:r>
              <w:rPr>
                <w:rFonts w:hint="eastAsia" w:ascii="宋体" w:hAnsi="宋体" w:cs="Times New Roman"/>
                <w:sz w:val="21"/>
                <w:szCs w:val="21"/>
                <w:lang w:val="en-US" w:eastAsia="zh-CN"/>
              </w:rPr>
              <w:t>。</w:t>
            </w:r>
          </w:p>
        </w:tc>
        <w:tc>
          <w:tcPr>
            <w:tcW w:w="1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2160" w:type="dxa"/>
          </w:tcPr>
          <w:p>
            <w:pPr>
              <w:numPr>
                <w:ilvl w:val="0"/>
                <w:numId w:val="1"/>
              </w:numPr>
              <w:rPr>
                <w:rFonts w:hint="eastAsia" w:ascii="宋体" w:hAnsi="宋体" w:eastAsia="宋体" w:cs="Times New Roman"/>
                <w:sz w:val="21"/>
                <w:szCs w:val="21"/>
              </w:rPr>
            </w:pPr>
            <w:r>
              <w:rPr>
                <w:rFonts w:hint="eastAsia" w:ascii="宋体" w:hAnsi="宋体" w:eastAsia="宋体" w:cs="Times New Roman"/>
                <w:sz w:val="21"/>
                <w:szCs w:val="21"/>
              </w:rPr>
              <w:t>组织的岗位、职责和权限</w:t>
            </w:r>
          </w:p>
          <w:p>
            <w:pPr>
              <w:numPr>
                <w:ilvl w:val="0"/>
                <w:numId w:val="1"/>
              </w:numPr>
            </w:pPr>
            <w:r>
              <w:rPr>
                <w:rFonts w:hint="eastAsia" w:ascii="宋体" w:hAnsi="宋体" w:eastAsia="宋体" w:cs="Times New Roman"/>
                <w:sz w:val="21"/>
                <w:szCs w:val="21"/>
              </w:rPr>
              <w:t>2.能源管理目标、指标及实现措施策划适宜性；、能源职责；</w:t>
            </w:r>
          </w:p>
        </w:tc>
        <w:tc>
          <w:tcPr>
            <w:tcW w:w="960" w:type="dxa"/>
          </w:tcPr>
          <w:p>
            <w:pPr>
              <w:rPr>
                <w:rFonts w:hint="default" w:eastAsia="宋体"/>
                <w:lang w:val="en-US" w:eastAsia="zh-CN"/>
              </w:rPr>
            </w:pPr>
            <w:r>
              <w:rPr>
                <w:rFonts w:hint="eastAsia" w:ascii="宋体" w:hAnsi="宋体" w:eastAsia="宋体" w:cs="Times New Roman"/>
                <w:sz w:val="21"/>
                <w:szCs w:val="21"/>
              </w:rPr>
              <w:t>5.3</w:t>
            </w:r>
            <w:r>
              <w:rPr>
                <w:rFonts w:hint="eastAsia" w:ascii="宋体" w:hAnsi="宋体" w:cs="Times New Roman"/>
                <w:sz w:val="21"/>
                <w:szCs w:val="21"/>
                <w:lang w:val="en-US" w:eastAsia="zh-CN"/>
              </w:rPr>
              <w:t>/6.2</w:t>
            </w:r>
          </w:p>
        </w:tc>
        <w:tc>
          <w:tcPr>
            <w:tcW w:w="10376" w:type="dxa"/>
          </w:tcPr>
          <w:p>
            <w:pPr>
              <w:numPr>
                <w:ilvl w:val="0"/>
                <w:numId w:val="0"/>
              </w:numPr>
              <w:ind w:firstLine="420" w:firstLineChars="200"/>
              <w:rPr>
                <w:rFonts w:hint="eastAsia"/>
                <w:szCs w:val="22"/>
                <w:lang w:val="en-US" w:eastAsia="zh-CN"/>
              </w:rPr>
            </w:pPr>
            <w:r>
              <w:rPr>
                <w:rFonts w:hint="eastAsia"/>
                <w:lang w:val="en-US" w:eastAsia="zh-CN"/>
              </w:rPr>
              <w:t xml:space="preserve">1.人力资源部：领导 </w:t>
            </w:r>
            <w:r>
              <w:rPr>
                <w:rFonts w:hint="eastAsia" w:ascii="宋体" w:hAnsi="宋体" w:eastAsia="宋体" w:cs="Times New Roman"/>
                <w:sz w:val="21"/>
                <w:szCs w:val="21"/>
                <w:lang w:val="en-US" w:eastAsia="zh-CN"/>
              </w:rPr>
              <w:t>张东</w:t>
            </w:r>
            <w:r>
              <w:rPr>
                <w:rFonts w:hint="eastAsia"/>
                <w:lang w:val="en-US" w:eastAsia="zh-CN"/>
              </w:rPr>
              <w:t>，共8人，岗位设置：科长：1人、副科长：1人、成本核算员：1人、费用核算员：1人、资金管理员：1人、物料核算员：1人、税管员：1人、出纳：1人</w:t>
            </w:r>
            <w:r>
              <w:rPr>
                <w:rFonts w:hint="eastAsia"/>
                <w:szCs w:val="22"/>
                <w:lang w:val="en-US" w:eastAsia="zh-CN"/>
              </w:rPr>
              <w:t>。</w:t>
            </w:r>
          </w:p>
          <w:p>
            <w:pPr>
              <w:numPr>
                <w:ilvl w:val="0"/>
                <w:numId w:val="0"/>
              </w:numPr>
              <w:ind w:firstLine="420" w:firstLineChars="200"/>
              <w:rPr>
                <w:rFonts w:hint="eastAsia"/>
                <w:szCs w:val="22"/>
                <w:lang w:val="en-US" w:eastAsia="zh-CN"/>
              </w:rPr>
            </w:pPr>
            <w:r>
              <w:rPr>
                <w:rFonts w:hint="eastAsia"/>
                <w:szCs w:val="22"/>
                <w:lang w:val="en-US" w:eastAsia="zh-CN"/>
              </w:rPr>
              <w:t>2.部门能源职责：</w:t>
            </w:r>
          </w:p>
          <w:p>
            <w:pPr>
              <w:numPr>
                <w:ilvl w:val="0"/>
                <w:numId w:val="0"/>
              </w:numPr>
              <w:ind w:firstLine="630" w:firstLineChars="300"/>
              <w:rPr>
                <w:rFonts w:hint="eastAsia"/>
                <w:szCs w:val="22"/>
                <w:lang w:val="en-US" w:eastAsia="zh-CN"/>
              </w:rPr>
            </w:pPr>
            <w:r>
              <w:rPr>
                <w:rFonts w:hint="eastAsia"/>
                <w:szCs w:val="22"/>
                <w:lang w:val="en-US" w:eastAsia="zh-CN"/>
              </w:rPr>
              <w:t>1、负责全矿范围内能源消耗的成本核算，并编报相关报表。</w:t>
            </w:r>
            <w:r>
              <w:rPr>
                <w:rFonts w:hint="eastAsia"/>
                <w:szCs w:val="22"/>
                <w:lang w:val="en-US" w:eastAsia="zh-CN"/>
              </w:rPr>
              <w:tab/>
            </w:r>
          </w:p>
          <w:p>
            <w:pPr>
              <w:numPr>
                <w:ilvl w:val="0"/>
                <w:numId w:val="0"/>
              </w:numPr>
              <w:ind w:firstLine="630" w:firstLineChars="300"/>
              <w:rPr>
                <w:rFonts w:hint="eastAsia"/>
                <w:szCs w:val="22"/>
                <w:lang w:val="en-US" w:eastAsia="zh-CN"/>
              </w:rPr>
            </w:pPr>
            <w:r>
              <w:rPr>
                <w:rFonts w:hint="eastAsia"/>
                <w:szCs w:val="22"/>
                <w:lang w:val="en-US" w:eastAsia="zh-CN"/>
              </w:rPr>
              <w:t>2、会同其他部门共同研究制定矿内各单位能耗考核指标及考核制度。</w:t>
            </w:r>
            <w:r>
              <w:rPr>
                <w:rFonts w:hint="eastAsia"/>
                <w:szCs w:val="22"/>
                <w:lang w:val="en-US" w:eastAsia="zh-CN"/>
              </w:rPr>
              <w:tab/>
            </w:r>
          </w:p>
          <w:p>
            <w:pPr>
              <w:numPr>
                <w:ilvl w:val="0"/>
                <w:numId w:val="0"/>
              </w:numPr>
              <w:ind w:firstLine="630" w:firstLineChars="300"/>
              <w:rPr>
                <w:rFonts w:hint="eastAsia"/>
                <w:szCs w:val="22"/>
                <w:lang w:val="en-US" w:eastAsia="zh-CN"/>
              </w:rPr>
            </w:pPr>
            <w:r>
              <w:rPr>
                <w:rFonts w:hint="eastAsia"/>
                <w:szCs w:val="22"/>
                <w:lang w:val="en-US" w:eastAsia="zh-CN"/>
              </w:rPr>
              <w:t>3、会同其他部门共同研究制定能耗成本管控措施，定期提供各能耗指标实际完成情况，为能耗指标考核提供依据。</w:t>
            </w:r>
            <w:r>
              <w:rPr>
                <w:rFonts w:hint="eastAsia"/>
                <w:szCs w:val="22"/>
                <w:lang w:val="en-US" w:eastAsia="zh-CN"/>
              </w:rPr>
              <w:tab/>
            </w:r>
          </w:p>
          <w:p>
            <w:pPr>
              <w:numPr>
                <w:ilvl w:val="0"/>
                <w:numId w:val="0"/>
              </w:numPr>
              <w:ind w:firstLine="630" w:firstLineChars="300"/>
              <w:rPr>
                <w:rFonts w:hint="eastAsia"/>
                <w:szCs w:val="22"/>
                <w:lang w:val="en-US" w:eastAsia="zh-CN"/>
              </w:rPr>
            </w:pPr>
            <w:r>
              <w:rPr>
                <w:rFonts w:hint="eastAsia"/>
                <w:szCs w:val="22"/>
                <w:lang w:val="en-US" w:eastAsia="zh-CN"/>
              </w:rPr>
              <w:t>4、、拟定有关节能减排措施的资金支付计划，报矿党政班子会通过后执行。</w:t>
            </w:r>
            <w:r>
              <w:rPr>
                <w:rFonts w:hint="eastAsia"/>
                <w:szCs w:val="22"/>
                <w:lang w:val="en-US" w:eastAsia="zh-CN"/>
              </w:rPr>
              <w:tab/>
            </w:r>
          </w:p>
          <w:p>
            <w:pPr>
              <w:numPr>
                <w:ilvl w:val="0"/>
                <w:numId w:val="0"/>
              </w:numPr>
              <w:ind w:firstLine="630" w:firstLineChars="300"/>
              <w:rPr>
                <w:rFonts w:hint="eastAsia"/>
                <w:szCs w:val="22"/>
                <w:lang w:val="en-US" w:eastAsia="zh-CN"/>
              </w:rPr>
            </w:pPr>
            <w:r>
              <w:rPr>
                <w:rFonts w:hint="eastAsia"/>
                <w:szCs w:val="22"/>
                <w:lang w:val="en-US" w:eastAsia="zh-CN"/>
              </w:rPr>
              <w:t>5、参与其他有关节能减排项目的立项、预算、验收等工作。</w:t>
            </w:r>
            <w:r>
              <w:rPr>
                <w:rFonts w:hint="eastAsia"/>
                <w:szCs w:val="22"/>
                <w:lang w:val="en-US" w:eastAsia="zh-CN"/>
              </w:rPr>
              <w:tab/>
            </w:r>
          </w:p>
          <w:p>
            <w:pPr>
              <w:numPr>
                <w:ilvl w:val="0"/>
                <w:numId w:val="0"/>
              </w:numPr>
              <w:ind w:firstLine="630" w:firstLineChars="300"/>
              <w:rPr>
                <w:rFonts w:hint="eastAsia"/>
                <w:szCs w:val="22"/>
                <w:lang w:val="en-US" w:eastAsia="zh-CN"/>
              </w:rPr>
            </w:pPr>
            <w:r>
              <w:rPr>
                <w:rFonts w:hint="eastAsia"/>
                <w:szCs w:val="22"/>
                <w:lang w:val="en-US" w:eastAsia="zh-CN"/>
              </w:rPr>
              <w:t>本部门涉及能源：</w:t>
            </w:r>
          </w:p>
          <w:p>
            <w:pPr>
              <w:numPr>
                <w:ilvl w:val="0"/>
                <w:numId w:val="0"/>
              </w:numPr>
              <w:ind w:firstLine="630" w:firstLineChars="300"/>
              <w:rPr>
                <w:rFonts w:hint="eastAsia"/>
                <w:szCs w:val="22"/>
                <w:lang w:val="en-US" w:eastAsia="zh-CN"/>
              </w:rPr>
            </w:pPr>
            <w:r>
              <w:rPr>
                <w:rFonts w:hint="eastAsia"/>
                <w:szCs w:val="22"/>
                <w:lang w:val="en-US" w:eastAsia="zh-CN"/>
              </w:rPr>
              <w:t>a )负责公司能源相关结算管理工作；</w:t>
            </w:r>
          </w:p>
          <w:p>
            <w:pPr>
              <w:numPr>
                <w:ilvl w:val="0"/>
                <w:numId w:val="0"/>
              </w:numPr>
              <w:ind w:firstLine="630" w:firstLineChars="300"/>
              <w:rPr>
                <w:rFonts w:hint="eastAsia"/>
                <w:szCs w:val="22"/>
                <w:lang w:val="en-US" w:eastAsia="zh-CN"/>
              </w:rPr>
            </w:pPr>
            <w:r>
              <w:rPr>
                <w:rFonts w:hint="eastAsia"/>
                <w:szCs w:val="22"/>
                <w:lang w:val="en-US" w:eastAsia="zh-CN"/>
              </w:rPr>
              <w:t>b )负责公司产值的统计核算；</w:t>
            </w:r>
          </w:p>
          <w:p>
            <w:pPr>
              <w:ind w:firstLine="420"/>
              <w:rPr>
                <w:rFonts w:hint="eastAsia"/>
                <w:szCs w:val="22"/>
                <w:lang w:val="en-US" w:eastAsia="zh-CN"/>
              </w:rPr>
            </w:pPr>
            <w:r>
              <w:rPr>
                <w:rFonts w:hint="eastAsia"/>
                <w:szCs w:val="22"/>
                <w:lang w:val="en-US" w:eastAsia="zh-CN"/>
              </w:rPr>
              <w:t>3.提供财务资产部能源管理目标</w:t>
            </w:r>
          </w:p>
          <w:p>
            <w:pPr>
              <w:numPr>
                <w:ilvl w:val="0"/>
                <w:numId w:val="0"/>
              </w:numPr>
              <w:rPr>
                <w:rFonts w:hint="eastAsia"/>
                <w:lang w:val="en-US" w:eastAsia="zh-CN"/>
              </w:rPr>
            </w:pPr>
            <w:r>
              <w:rPr>
                <w:rFonts w:hint="eastAsia"/>
                <w:lang w:val="en-US" w:eastAsia="zh-CN"/>
              </w:rPr>
              <w:t xml:space="preserve">     查阅相关记录，财务管理全部完成。</w:t>
            </w:r>
          </w:p>
          <w:p>
            <w:pPr>
              <w:pStyle w:val="2"/>
              <w:rPr>
                <w:rFonts w:hint="default"/>
                <w:lang w:val="en-US" w:eastAsia="zh-CN"/>
              </w:rPr>
            </w:pPr>
            <w:bookmarkStart w:id="0" w:name="_GoBack"/>
            <w:r>
              <w:rPr>
                <w:rFonts w:hint="eastAsia"/>
                <w:color w:val="FF0000"/>
                <w:lang w:val="en-US" w:eastAsia="zh-CN"/>
              </w:rPr>
              <w:t>但是在能源方面的目标指标不明晰。</w:t>
            </w:r>
          </w:p>
          <w:bookmarkEnd w:id="0"/>
          <w:p>
            <w:pPr>
              <w:jc w:val="left"/>
              <w:rPr>
                <w:rFonts w:hint="default"/>
                <w:lang w:val="en-US" w:eastAsia="zh-CN"/>
              </w:rPr>
            </w:pPr>
            <w:r>
              <w:rPr>
                <w:rFonts w:hint="eastAsia"/>
                <w:lang w:val="en-US" w:eastAsia="zh-CN"/>
              </w:rPr>
              <w:t xml:space="preserve">     财务资产部门基本完成目标指标，保证了能源项目的资金。</w:t>
            </w:r>
          </w:p>
          <w:p>
            <w:pPr>
              <w:jc w:val="left"/>
              <w:rPr>
                <w:rFonts w:hint="default"/>
                <w:lang w:val="en-US" w:eastAsia="zh-CN"/>
              </w:rPr>
            </w:pPr>
          </w:p>
          <w:p>
            <w:pPr>
              <w:numPr>
                <w:ilvl w:val="0"/>
                <w:numId w:val="0"/>
              </w:numPr>
              <w:rPr>
                <w:rFonts w:hint="default"/>
                <w:lang w:val="en-US" w:eastAsia="zh-CN"/>
              </w:rPr>
            </w:pPr>
          </w:p>
        </w:tc>
        <w:tc>
          <w:tcPr>
            <w:tcW w:w="1213" w:type="dxa"/>
          </w:tcPr>
          <w:p/>
          <w:p>
            <w:pPr>
              <w:pStyle w:val="2"/>
            </w:pPr>
          </w:p>
          <w:p/>
          <w:p>
            <w:pPr>
              <w:pStyle w:val="2"/>
            </w:pPr>
          </w:p>
          <w:p/>
          <w:p>
            <w:pPr>
              <w:pStyle w:val="2"/>
            </w:pPr>
          </w:p>
          <w:p/>
          <w:p>
            <w:pPr>
              <w:pStyle w:val="2"/>
            </w:pPr>
          </w:p>
          <w:p/>
          <w:p>
            <w:pPr>
              <w:pStyle w:val="2"/>
            </w:pPr>
          </w:p>
          <w:p/>
          <w:p>
            <w:pPr>
              <w:pStyle w:val="2"/>
            </w:pPr>
          </w:p>
          <w:p/>
          <w:p>
            <w:pPr>
              <w:pStyle w:val="2"/>
            </w:pPr>
          </w:p>
          <w:p>
            <w:pPr>
              <w:rPr>
                <w:rFonts w:hint="eastAsia" w:eastAsia="宋体"/>
                <w:lang w:val="en-US" w:eastAsia="zh-CN"/>
              </w:rPr>
            </w:pPr>
            <w:r>
              <w:rPr>
                <w:rFonts w:hint="eastAsia"/>
                <w:color w:val="FF000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numPr>
                <w:ilvl w:val="0"/>
                <w:numId w:val="2"/>
              </w:num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运行的策划和控制、能源资金的策划与控制8.1 ；</w:t>
            </w:r>
          </w:p>
          <w:p>
            <w:pPr>
              <w:numPr>
                <w:numId w:val="0"/>
              </w:numPr>
            </w:pPr>
            <w:r>
              <w:rPr>
                <w:rFonts w:hint="eastAsia" w:ascii="宋体" w:hAnsi="宋体" w:eastAsia="宋体" w:cs="Times New Roman"/>
                <w:sz w:val="21"/>
                <w:szCs w:val="21"/>
                <w:lang w:val="en-US" w:eastAsia="zh-CN"/>
              </w:rPr>
              <w:t>4.不符合与纠正措施。</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8.1/</w:t>
            </w:r>
          </w:p>
          <w:p>
            <w:r>
              <w:rPr>
                <w:rFonts w:hint="eastAsia" w:ascii="宋体" w:hAnsi="宋体" w:eastAsia="宋体" w:cs="Times New Roman"/>
                <w:sz w:val="21"/>
                <w:szCs w:val="21"/>
                <w:lang w:val="en-US" w:eastAsia="zh-CN"/>
              </w:rPr>
              <w:t>10.1</w:t>
            </w:r>
          </w:p>
        </w:tc>
        <w:tc>
          <w:tcPr>
            <w:tcW w:w="10376" w:type="dxa"/>
          </w:tcPr>
          <w:p>
            <w:pPr>
              <w:pStyle w:val="2"/>
              <w:rPr>
                <w:rFonts w:hint="default"/>
                <w:lang w:val="en-US" w:eastAsia="zh-CN"/>
              </w:rPr>
            </w:pPr>
            <w:r>
              <w:rPr>
                <w:rFonts w:hint="eastAsia"/>
                <w:lang w:val="en-US" w:eastAsia="zh-CN"/>
              </w:rPr>
              <w:t>提供</w:t>
            </w:r>
            <w:r>
              <w:rPr>
                <w:rFonts w:hint="default"/>
                <w:lang w:val="en-US" w:eastAsia="zh-CN"/>
              </w:rPr>
              <w:t>制度清单：</w:t>
            </w:r>
          </w:p>
          <w:p>
            <w:pPr>
              <w:pStyle w:val="2"/>
              <w:rPr>
                <w:rFonts w:hint="default"/>
                <w:lang w:val="en-US" w:eastAsia="zh-CN"/>
              </w:rPr>
            </w:pPr>
            <w:r>
              <w:rPr>
                <w:rFonts w:hint="default"/>
                <w:lang w:val="en-US" w:eastAsia="zh-CN"/>
              </w:rPr>
              <w:t>1、《河钢矿业有限公司财务成本核算规程》</w:t>
            </w:r>
          </w:p>
          <w:p>
            <w:pPr>
              <w:pStyle w:val="2"/>
              <w:rPr>
                <w:rFonts w:hint="default"/>
                <w:lang w:val="en-US" w:eastAsia="zh-CN"/>
              </w:rPr>
            </w:pPr>
            <w:r>
              <w:rPr>
                <w:rFonts w:hint="default"/>
                <w:lang w:val="en-US" w:eastAsia="zh-CN"/>
              </w:rPr>
              <w:t>2、《河钢矿业有限公司石人沟铁矿关于差旅费报销管理办法》</w:t>
            </w:r>
          </w:p>
          <w:p>
            <w:pPr>
              <w:pStyle w:val="2"/>
              <w:rPr>
                <w:rFonts w:hint="default"/>
                <w:lang w:val="en-US" w:eastAsia="zh-CN"/>
              </w:rPr>
            </w:pPr>
            <w:r>
              <w:rPr>
                <w:rFonts w:hint="default"/>
                <w:lang w:val="en-US" w:eastAsia="zh-CN"/>
              </w:rPr>
              <w:t>3、《河钢矿业有限公司石人沟铁矿关于进一步加强与资金相关业务的管理规定》</w:t>
            </w:r>
          </w:p>
          <w:p>
            <w:pPr>
              <w:pStyle w:val="2"/>
              <w:rPr>
                <w:rFonts w:hint="default"/>
                <w:lang w:val="en-US" w:eastAsia="zh-CN"/>
              </w:rPr>
            </w:pPr>
            <w:r>
              <w:rPr>
                <w:rFonts w:hint="default"/>
                <w:lang w:val="en-US" w:eastAsia="zh-CN"/>
              </w:rPr>
              <w:t>4、《河钢矿业有限公司关于进一步加强资金预算管理的规定》</w:t>
            </w:r>
          </w:p>
          <w:p>
            <w:pPr>
              <w:pStyle w:val="2"/>
              <w:rPr>
                <w:rFonts w:hint="default"/>
                <w:lang w:val="en-US" w:eastAsia="zh-CN"/>
              </w:rPr>
            </w:pPr>
            <w:r>
              <w:rPr>
                <w:rFonts w:hint="default"/>
                <w:lang w:val="en-US" w:eastAsia="zh-CN"/>
              </w:rPr>
              <w:t>5、《河钢矿业有限公司关于财务领域招投标管理实施细则》</w:t>
            </w:r>
          </w:p>
          <w:p>
            <w:pPr>
              <w:pStyle w:val="2"/>
              <w:rPr>
                <w:rFonts w:hint="default"/>
                <w:lang w:val="en-US" w:eastAsia="zh-CN"/>
              </w:rPr>
            </w:pPr>
            <w:r>
              <w:rPr>
                <w:rFonts w:hint="default"/>
                <w:lang w:val="en-US" w:eastAsia="zh-CN"/>
              </w:rPr>
              <w:t>6、《中共河钢集团组织部关于财务系统人员派驻制管理办法》</w:t>
            </w:r>
          </w:p>
          <w:p>
            <w:pPr>
              <w:rPr>
                <w:rFonts w:hint="default"/>
                <w:lang w:val="en-US" w:eastAsia="zh-CN"/>
              </w:rPr>
            </w:pPr>
          </w:p>
          <w:p>
            <w:pPr>
              <w:pStyle w:val="2"/>
              <w:rPr>
                <w:rFonts w:hint="eastAsia"/>
                <w:lang w:val="en-US" w:eastAsia="zh-CN"/>
              </w:rPr>
            </w:pPr>
            <w:r>
              <w:rPr>
                <w:rFonts w:hint="default"/>
                <w:lang w:val="en-US" w:eastAsia="zh-CN"/>
              </w:rPr>
              <w:t>近年来节能项目情况：</w:t>
            </w:r>
            <w:r>
              <w:rPr>
                <w:rFonts w:hint="eastAsia"/>
                <w:lang w:val="en-US" w:eastAsia="zh-CN"/>
              </w:rPr>
              <w:t>提供《</w:t>
            </w:r>
            <w:r>
              <w:rPr>
                <w:rFonts w:hint="default"/>
                <w:lang w:val="en-US" w:eastAsia="zh-CN"/>
              </w:rPr>
              <w:t>石人沟铁矿近年来主要节能项目情况表</w:t>
            </w:r>
            <w:r>
              <w:rPr>
                <w:rFonts w:hint="eastAsia"/>
                <w:lang w:val="en-US" w:eastAsia="zh-CN"/>
              </w:rPr>
              <w:t>》</w:t>
            </w:r>
            <w:r>
              <w:rPr>
                <w:rFonts w:hint="default"/>
                <w:lang w:val="en-US" w:eastAsia="zh-CN"/>
              </w:rPr>
              <w:t xml:space="preserve"> 单位：万元</w:t>
            </w:r>
            <w:r>
              <w:rPr>
                <w:rFonts w:hint="eastAsia"/>
                <w:lang w:val="en-US" w:eastAsia="zh-CN"/>
              </w:rPr>
              <w:t>。</w:t>
            </w:r>
          </w:p>
          <w:tbl>
            <w:tblPr>
              <w:tblStyle w:val="7"/>
              <w:tblW w:w="9336" w:type="dxa"/>
              <w:tblInd w:w="96" w:type="dxa"/>
              <w:shd w:val="clear" w:color="auto" w:fill="auto"/>
              <w:tblLayout w:type="fixed"/>
              <w:tblCellMar>
                <w:top w:w="0" w:type="dxa"/>
                <w:left w:w="108" w:type="dxa"/>
                <w:bottom w:w="0" w:type="dxa"/>
                <w:right w:w="108" w:type="dxa"/>
              </w:tblCellMar>
            </w:tblPr>
            <w:tblGrid>
              <w:gridCol w:w="2496"/>
              <w:gridCol w:w="1044"/>
              <w:gridCol w:w="1284"/>
              <w:gridCol w:w="1096"/>
              <w:gridCol w:w="3468"/>
            </w:tblGrid>
            <w:tr>
              <w:tblPrEx>
                <w:shd w:val="clear" w:color="auto" w:fill="auto"/>
                <w:tblCellMar>
                  <w:top w:w="0" w:type="dxa"/>
                  <w:left w:w="108" w:type="dxa"/>
                  <w:bottom w:w="0" w:type="dxa"/>
                  <w:right w:w="108" w:type="dxa"/>
                </w:tblCellMar>
              </w:tblPrEx>
              <w:trPr>
                <w:trHeight w:val="288" w:hRule="atLeast"/>
              </w:trPr>
              <w:tc>
                <w:tcPr>
                  <w:tcW w:w="2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已支付</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项目情况</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施工单位</w:t>
                  </w:r>
                </w:p>
              </w:tc>
            </w:tr>
            <w:tr>
              <w:tblPrEx>
                <w:tblCellMar>
                  <w:top w:w="0" w:type="dxa"/>
                  <w:left w:w="108" w:type="dxa"/>
                  <w:bottom w:w="0" w:type="dxa"/>
                  <w:right w:w="108" w:type="dxa"/>
                </w:tblCellMar>
              </w:tblPrEx>
              <w:trPr>
                <w:trHeight w:val="288" w:hRule="atLeast"/>
              </w:trPr>
              <w:tc>
                <w:tcPr>
                  <w:tcW w:w="2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井下照明节能改造项目</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236.77</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已完工</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深圳紫光照明科技股份有限公司</w:t>
                  </w:r>
                </w:p>
              </w:tc>
            </w:tr>
            <w:tr>
              <w:tblPrEx>
                <w:shd w:val="clear" w:color="auto" w:fill="auto"/>
                <w:tblCellMar>
                  <w:top w:w="0" w:type="dxa"/>
                  <w:left w:w="108" w:type="dxa"/>
                  <w:bottom w:w="0" w:type="dxa"/>
                  <w:right w:w="108" w:type="dxa"/>
                </w:tblCellMar>
              </w:tblPrEx>
              <w:trPr>
                <w:trHeight w:val="288" w:hRule="atLeast"/>
              </w:trPr>
              <w:tc>
                <w:tcPr>
                  <w:tcW w:w="2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合同能源管理</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262.12</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262.12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北京森科润德科技有限公司</w:t>
                  </w:r>
                </w:p>
              </w:tc>
            </w:tr>
            <w:tr>
              <w:tblPrEx>
                <w:shd w:val="clear" w:color="auto" w:fill="auto"/>
                <w:tblCellMar>
                  <w:top w:w="0" w:type="dxa"/>
                  <w:left w:w="108" w:type="dxa"/>
                  <w:bottom w:w="0" w:type="dxa"/>
                  <w:right w:w="108" w:type="dxa"/>
                </w:tblCellMar>
              </w:tblPrEx>
              <w:trPr>
                <w:trHeight w:val="288" w:hRule="atLeast"/>
              </w:trPr>
              <w:tc>
                <w:tcPr>
                  <w:tcW w:w="2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合同能源管理</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正在实施</w:t>
                  </w: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唐山德乾机械设备有限公司</w:t>
                  </w:r>
                </w:p>
              </w:tc>
            </w:tr>
            <w:tr>
              <w:tblPrEx>
                <w:shd w:val="clear" w:color="auto" w:fill="auto"/>
                <w:tblCellMar>
                  <w:top w:w="0" w:type="dxa"/>
                  <w:left w:w="108" w:type="dxa"/>
                  <w:bottom w:w="0" w:type="dxa"/>
                  <w:right w:w="108" w:type="dxa"/>
                </w:tblCellMar>
              </w:tblPrEx>
              <w:trPr>
                <w:trHeight w:val="288" w:hRule="atLeast"/>
              </w:trPr>
              <w:tc>
                <w:tcPr>
                  <w:tcW w:w="2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534.89</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313.47</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default"/>
                <w:lang w:val="en-US" w:eastAsia="zh-CN"/>
              </w:rPr>
            </w:pPr>
            <w:r>
              <w:rPr>
                <w:rFonts w:hint="eastAsia"/>
                <w:lang w:val="en-US" w:eastAsia="zh-CN"/>
              </w:rPr>
              <w:t xml:space="preserve">    目前在能源方面的财务管理没有发生不符合。资金基本到位。</w:t>
            </w:r>
          </w:p>
          <w:p>
            <w:pPr>
              <w:pStyle w:val="2"/>
              <w:rPr>
                <w:rFonts w:hint="default"/>
                <w:lang w:val="en-US" w:eastAsia="zh-CN"/>
              </w:rPr>
            </w:pPr>
          </w:p>
        </w:tc>
        <w:tc>
          <w:tcPr>
            <w:tcW w:w="1213"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-36195</wp:posOffset>
          </wp:positionV>
          <wp:extent cx="365760" cy="363220"/>
          <wp:effectExtent l="0" t="0" r="0" b="2540"/>
          <wp:wrapTight wrapText="bothSides">
            <wp:wrapPolygon>
              <wp:start x="5850" y="0"/>
              <wp:lineTo x="0" y="2719"/>
              <wp:lineTo x="0" y="16766"/>
              <wp:lineTo x="6300" y="21298"/>
              <wp:lineTo x="9450" y="21298"/>
              <wp:lineTo x="14400" y="21298"/>
              <wp:lineTo x="14850" y="21298"/>
              <wp:lineTo x="20700" y="14501"/>
              <wp:lineTo x="20700" y="5891"/>
              <wp:lineTo x="17550" y="2266"/>
              <wp:lineTo x="14400" y="0"/>
              <wp:lineTo x="5850"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365760" cy="36322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FEDD19"/>
    <w:multiLevelType w:val="singleLevel"/>
    <w:tmpl w:val="87FEDD19"/>
    <w:lvl w:ilvl="0" w:tentative="0">
      <w:start w:val="3"/>
      <w:numFmt w:val="decimal"/>
      <w:lvlText w:val="%1."/>
      <w:lvlJc w:val="left"/>
      <w:pPr>
        <w:tabs>
          <w:tab w:val="left" w:pos="312"/>
        </w:tabs>
      </w:pPr>
    </w:lvl>
  </w:abstractNum>
  <w:abstractNum w:abstractNumId="1">
    <w:nsid w:val="BC7FD6BE"/>
    <w:multiLevelType w:val="singleLevel"/>
    <w:tmpl w:val="BC7FD6BE"/>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B861E46"/>
    <w:rsid w:val="0D4B7644"/>
    <w:rsid w:val="108219C2"/>
    <w:rsid w:val="129F789F"/>
    <w:rsid w:val="19710579"/>
    <w:rsid w:val="25892989"/>
    <w:rsid w:val="44926E98"/>
    <w:rsid w:val="50A72012"/>
    <w:rsid w:val="51BE0628"/>
    <w:rsid w:val="53DB69BC"/>
    <w:rsid w:val="5BFD0207"/>
    <w:rsid w:val="5EA12B9A"/>
    <w:rsid w:val="693A54C3"/>
    <w:rsid w:val="6DE4169C"/>
    <w:rsid w:val="72AD40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cs="Times New Roman"/>
      <w:b/>
      <w:bCs/>
      <w:kern w:val="0"/>
      <w:sz w:val="32"/>
      <w:szCs w:val="32"/>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rFonts w:ascii="Times New Roman" w:hAnsi="Times New Roman" w:eastAsia="宋体" w:cs="Times New Roman"/>
      <w:sz w:val="18"/>
      <w:szCs w:val="18"/>
    </w:rPr>
  </w:style>
  <w:style w:type="character" w:customStyle="1" w:styleId="11">
    <w:name w:val="页脚 字符"/>
    <w:basedOn w:val="9"/>
    <w:link w:val="5"/>
    <w:qFormat/>
    <w:uiPriority w:val="99"/>
    <w:rPr>
      <w:rFonts w:ascii="Times New Roman" w:hAnsi="Times New Roman" w:eastAsia="宋体" w:cs="Times New Roman"/>
      <w:sz w:val="18"/>
      <w:szCs w:val="18"/>
    </w:rPr>
  </w:style>
  <w:style w:type="character" w:customStyle="1" w:styleId="12">
    <w:name w:val="批注框文本 字符"/>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font01"/>
    <w:basedOn w:val="9"/>
    <w:qFormat/>
    <w:uiPriority w:val="0"/>
    <w:rPr>
      <w:rFonts w:hint="eastAsia" w:ascii="宋体" w:hAnsi="宋体" w:eastAsia="宋体" w:cs="宋体"/>
      <w:color w:val="000000"/>
      <w:sz w:val="20"/>
      <w:szCs w:val="20"/>
      <w:u w:val="none"/>
    </w:rPr>
  </w:style>
  <w:style w:type="paragraph" w:customStyle="1" w:styleId="15">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TotalTime>
  <ScaleCrop>false</ScaleCrop>
  <LinksUpToDate>false</LinksUpToDate>
  <CharactersWithSpaces>147</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王宁敏</cp:lastModifiedBy>
  <dcterms:modified xsi:type="dcterms:W3CDTF">2021-08-11T08:45:01Z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