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97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9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设备保障中心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温占军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李春元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97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周涛、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8.9</w:t>
            </w:r>
          </w:p>
        </w:tc>
        <w:tc>
          <w:tcPr>
            <w:tcW w:w="79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97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szCs w:val="21"/>
              </w:rPr>
              <w:t xml:space="preserve">5.3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 xml:space="preserve">6.2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6.3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6.4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6.5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6.6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/7.4/</w:t>
            </w:r>
            <w:r>
              <w:rPr>
                <w:rFonts w:hint="eastAsia" w:ascii="宋体" w:hAnsi="宋体"/>
                <w:szCs w:val="21"/>
              </w:rPr>
              <w:t>8.1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/8.3/9.1.1、9.2、10.1/10.2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79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组织的岗位、</w:t>
            </w:r>
            <w:r>
              <w:rPr>
                <w:rFonts w:hint="eastAsia"/>
                <w:lang w:val="en-US" w:eastAsia="zh-CN"/>
              </w:rPr>
              <w:t>职责权限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En5.3</w:t>
            </w:r>
          </w:p>
        </w:tc>
        <w:tc>
          <w:tcPr>
            <w:tcW w:w="10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温占军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介绍：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设备保障部总体负责全矿的设备及能源的工作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1、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服从领导分配，遵守厂纪厂规，按时完成工作任务。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2、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主持部门的日常工作，制定、完善部门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设备、能源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工作管理条例，提高部门人员的业务水平。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3、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协调好各部门及时处理好生产中出现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设备/能源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的技术质量问题，保质保量完成生产任务。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4、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监督供应人员按确定的合格供方及时进行物资采购。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5、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督促车间坚持质量第一，严格按工艺要求进行操作。做好产品标识和追溯控制，不合格品的控制和质量记录控制。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6、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指导各车间班组的安全生产文明生产的管理工作。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7、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负责各类产品的材料消耗控制、统计、考核工作。不断完善材料消耗定额的准确性，努力降低生产成本。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8、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负责合理调整各工序的计价工资，体现多劳多得的分配原则，稳定员工队伍，做好工资的结算和审核工作。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9、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13、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公司规定参加的各种会议应准时到场，并准备相关资料。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经理对职责基本明确清晰。</w:t>
            </w:r>
          </w:p>
        </w:tc>
        <w:tc>
          <w:tcPr>
            <w:tcW w:w="792" w:type="dxa"/>
          </w:tcPr>
          <w:p/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能源目标\</w:t>
            </w:r>
            <w:r>
              <w:rPr>
                <w:rFonts w:hint="eastAsia" w:ascii="宋体" w:hAnsi="宋体"/>
                <w:szCs w:val="21"/>
              </w:rPr>
              <w:t>能源指及其实现的策划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En6.2</w:t>
            </w:r>
          </w:p>
        </w:tc>
        <w:tc>
          <w:tcPr>
            <w:tcW w:w="10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地方政府未下达节能量指标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。</w:t>
            </w:r>
          </w:p>
          <w:p>
            <w:pPr>
              <w:pStyle w:val="9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企业2020年制定的目标为：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采矿工区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单位产品能耗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≦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0.9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kgce/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t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。</w:t>
            </w:r>
          </w:p>
          <w:p>
            <w:pPr>
              <w:pStyle w:val="9"/>
              <w:ind w:firstLine="2600" w:firstLineChars="1300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选矿工区单位产品能耗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≦</w:t>
            </w:r>
            <w:r>
              <w:rPr>
                <w:rFonts w:hint="eastAsia" w:ascii="宋体" w:hAnsi="宋体" w:cs="宋体"/>
                <w:kern w:val="2"/>
                <w:sz w:val="20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kgce/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t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。</w:t>
            </w:r>
          </w:p>
          <w:p>
            <w:pPr>
              <w:pStyle w:val="9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2020年实际完成情况为：采矿工区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单位产品能耗</w:t>
            </w:r>
            <w:r>
              <w:rPr>
                <w:rFonts w:hint="eastAsia" w:ascii="宋体" w:hAnsi="宋体" w:cs="宋体"/>
                <w:kern w:val="2"/>
                <w:sz w:val="20"/>
                <w:szCs w:val="22"/>
                <w:lang w:val="en-US" w:eastAsia="zh-CN" w:bidi="ar-SA"/>
              </w:rPr>
              <w:t>为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0.79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kgce/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t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。</w:t>
            </w:r>
          </w:p>
          <w:p>
            <w:pPr>
              <w:pStyle w:val="9"/>
              <w:ind w:firstLine="2200" w:firstLineChars="1100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选矿工区单位产品能耗</w:t>
            </w:r>
            <w:r>
              <w:rPr>
                <w:rFonts w:hint="eastAsia" w:ascii="宋体" w:hAnsi="宋体" w:cs="宋体"/>
                <w:kern w:val="2"/>
                <w:sz w:val="20"/>
                <w:szCs w:val="22"/>
                <w:lang w:val="en-US" w:eastAsia="zh-CN" w:bidi="ar-SA"/>
              </w:rPr>
              <w:t>为3.56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kgce/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t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。</w:t>
            </w:r>
          </w:p>
          <w:p>
            <w:pPr>
              <w:pStyle w:val="9"/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完成了目标。</w:t>
            </w:r>
          </w:p>
          <w:p>
            <w:pPr>
              <w:pStyle w:val="9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2021年制定的目标为：采矿工区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单位产品能耗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≦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0.8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kgce/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t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。</w:t>
            </w:r>
          </w:p>
          <w:p>
            <w:pPr>
              <w:pStyle w:val="9"/>
              <w:ind w:firstLine="2000" w:firstLineChars="1000"/>
              <w:rPr>
                <w:rFonts w:hint="default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选矿工区单位产品能耗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≦</w:t>
            </w:r>
            <w:r>
              <w:rPr>
                <w:rFonts w:hint="eastAsia" w:ascii="宋体" w:hAnsi="宋体" w:cs="宋体"/>
                <w:kern w:val="2"/>
                <w:sz w:val="20"/>
                <w:szCs w:val="22"/>
                <w:lang w:val="en-US" w:eastAsia="zh-CN" w:bidi="ar-SA"/>
              </w:rPr>
              <w:t>3.60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kgce/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t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。</w:t>
            </w:r>
          </w:p>
          <w:p>
            <w:pPr>
              <w:pStyle w:val="9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2"/>
                <w:lang w:val="en-US" w:eastAsia="zh-CN" w:bidi="ar-SA"/>
              </w:rPr>
              <w:t>2021年1-6月份完成情况为：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采矿工区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单位产品能耗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0.76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kgce/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t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。</w:t>
            </w:r>
          </w:p>
          <w:p>
            <w:pPr>
              <w:pStyle w:val="9"/>
              <w:ind w:firstLine="2600" w:firstLineChars="1300"/>
              <w:rPr>
                <w:rFonts w:hint="default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选矿工区单位产品能耗3.55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kgce/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t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。</w:t>
            </w:r>
          </w:p>
          <w:p>
            <w:pPr>
              <w:pStyle w:val="9"/>
              <w:ind w:left="0" w:leftChars="0" w:firstLine="0" w:firstLineChars="0"/>
              <w:rPr>
                <w:rFonts w:hint="eastAsia" w:ascii="Times New Roman" w:hAnsi="Times New Roman" w:cs="Times New Roman"/>
                <w:kern w:val="2"/>
                <w:sz w:val="20"/>
                <w:szCs w:val="22"/>
                <w:lang w:val="en-US" w:eastAsia="zh-CN" w:bidi="ar-SA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2"/>
                <w:lang w:val="en-US" w:eastAsia="zh-CN" w:bidi="ar-SA"/>
              </w:rPr>
              <w:t>.完成了制定的目标。</w:t>
            </w:r>
          </w:p>
        </w:tc>
        <w:tc>
          <w:tcPr>
            <w:tcW w:w="792" w:type="dxa"/>
          </w:tcPr>
          <w:p/>
          <w:p>
            <w:pPr>
              <w:pStyle w:val="9"/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能源评审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En6.3</w:t>
            </w:r>
          </w:p>
        </w:tc>
        <w:tc>
          <w:tcPr>
            <w:tcW w:w="10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提供：“河北钢铁集团有限公司石人沟铁厂能源评审报告”2021年8月1；内容包括：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能源评审基础信息（目的和范围和边界、评审期、公司能源使用基本情况、淘汰能耗落后工艺、设备概况</w:t>
            </w:r>
            <w:r>
              <w:rPr>
                <w:rFonts w:hint="eastAsia" w:eastAsia="宋体" w:cs="Times New Roman"/>
                <w:kern w:val="2"/>
                <w:sz w:val="21"/>
                <w:szCs w:val="22"/>
                <w:lang w:val="en-US" w:eastAsia="zh-CN" w:bidi="ar-SA"/>
              </w:rPr>
              <w:t>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  <w:r>
              <w:rPr>
                <w:rFonts w:hint="eastAsia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;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公司管理体系覆盖范围包括：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铁矿石开采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所涉及的能源管理活动。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评审期：2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年1月1日～20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年12月31日。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基准期：2019年1月1日～2019年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月31日生产</w:t>
            </w:r>
            <w:r>
              <w:rPr>
                <w:rFonts w:ascii="宋体" w:hAnsi="宋体"/>
                <w:szCs w:val="21"/>
              </w:rPr>
              <w:t>周期内平均值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能源管理状况评审（能源方针目标、能源管理组织及职责、能源管理制度、能源管理、能源计量、能源统计管理、能源定额管理、近三年生产和节能技改项目</w:t>
            </w:r>
            <w:r>
              <w:rPr>
                <w:rFonts w:hint="eastAsia" w:eastAsia="宋体" w:cs="Times New Roman"/>
                <w:kern w:val="2"/>
                <w:sz w:val="21"/>
                <w:szCs w:val="22"/>
                <w:lang w:val="en-US" w:eastAsia="zh-CN" w:bidi="ar-SA"/>
              </w:rPr>
              <w:t>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  <w:r>
              <w:rPr>
                <w:rFonts w:hint="eastAsia" w:eastAsia="宋体" w:cs="Times New Roman"/>
                <w:kern w:val="2"/>
                <w:sz w:val="21"/>
                <w:szCs w:val="22"/>
                <w:lang w:val="en-US" w:eastAsia="zh-CN" w:bidi="ar-SA"/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能源利用状况评审（能源消耗结构分析、用能设备能耗分析等）；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节能潜力分析和能源绩效优先改进机会识别（管理改进方法、项目改进方法）；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未来能源的消耗分析；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能源评审输出（能源绩效参数、能源基准和能源目标指标、影响主要能源使用的相关变量和参数控制）；</w:t>
            </w: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能源评审报告中未具体描述影响电力使用（主要能源使用）的相关变量——问题项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结论和建议（总体评价、建议）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2"/>
                <w:lang w:val="en-US" w:eastAsia="zh-CN" w:bidi="ar-SA"/>
              </w:rPr>
              <w:t>以上内容基本满足标准要求。</w:t>
            </w:r>
          </w:p>
        </w:tc>
        <w:tc>
          <w:tcPr>
            <w:tcW w:w="7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能源绩效参数、能源基准的确定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En6.4/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6.5</w:t>
            </w:r>
          </w:p>
        </w:tc>
        <w:tc>
          <w:tcPr>
            <w:tcW w:w="1079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企业根据2019年、2020年的生产经营情况进行分析，认为2019年和2020年因受市场原因和新冠疫情的影响，企业的生产经营活动处于波动状态，能源消耗不稳定，通过对2021年市场分析和企业的生产规模及与客户的沟通确定2021年的生产规模和能源绩效参数及能源基准和目标</w:t>
            </w:r>
          </w:p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根据能源消耗分析可知，公司的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电力消耗是企业主要能源使用，占比88.51%；柴油占比11.41%，主要是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锅炉、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和厂内叉车的使用，通过加强车辆节能节油管理进行控制；水占比很低。</w:t>
            </w:r>
          </w:p>
          <w:p>
            <w:pPr>
              <w:pStyle w:val="9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因此企业制定的能源绩效参数为：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综合能耗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总量（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kgce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）和单位产品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能耗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（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kgce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/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t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</w:p>
          <w:p>
            <w:pPr>
              <w:pStyle w:val="9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能源基准以上年度实际发生值为基准。</w:t>
            </w:r>
          </w:p>
          <w:p>
            <w:pPr>
              <w:pStyle w:val="9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根据能源评审报告分析：2021年</w:t>
            </w: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河北钢铁集团有限公司石人沟铁厂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的能源绩效参数和能源基准确定如下;</w:t>
            </w:r>
          </w:p>
          <w:tbl>
            <w:tblPr>
              <w:tblStyle w:val="10"/>
              <w:tblW w:w="4728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9"/>
              <w:gridCol w:w="2855"/>
              <w:gridCol w:w="2855"/>
              <w:gridCol w:w="28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4" w:hRule="atLeast"/>
              </w:trPr>
              <w:tc>
                <w:tcPr>
                  <w:tcW w:w="715" w:type="pct"/>
                  <w:tcBorders>
                    <w:top w:val="double" w:color="auto" w:sz="4" w:space="0"/>
                    <w:left w:val="doub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项  目</w:t>
                  </w:r>
                </w:p>
              </w:tc>
              <w:tc>
                <w:tcPr>
                  <w:tcW w:w="1428" w:type="pct"/>
                  <w:tcBorders>
                    <w:top w:val="doub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产品生产量</w:t>
                  </w:r>
                </w:p>
              </w:tc>
              <w:tc>
                <w:tcPr>
                  <w:tcW w:w="1428" w:type="pct"/>
                  <w:tcBorders>
                    <w:top w:val="doub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综合能耗</w:t>
                  </w:r>
                </w:p>
              </w:tc>
              <w:tc>
                <w:tcPr>
                  <w:tcW w:w="1428" w:type="pct"/>
                  <w:tcBorders>
                    <w:top w:val="doub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  <w:lang w:val="en-US" w:eastAsia="zh-CN"/>
                    </w:rPr>
                    <w:t>单位</w:t>
                  </w:r>
                  <w:r>
                    <w:rPr>
                      <w:rFonts w:hint="eastAsia" w:ascii="黑体" w:hAnsi="黑体" w:eastAsia="黑体"/>
                      <w:szCs w:val="21"/>
                    </w:rPr>
                    <w:t>产品单位综合能耗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715" w:type="pct"/>
                  <w:tcBorders>
                    <w:left w:val="doub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单  位</w:t>
                  </w:r>
                </w:p>
              </w:tc>
              <w:tc>
                <w:tcPr>
                  <w:tcW w:w="1428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t</w:t>
                  </w:r>
                </w:p>
              </w:tc>
              <w:tc>
                <w:tcPr>
                  <w:tcW w:w="1428" w:type="pct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tce</w:t>
                  </w:r>
                </w:p>
              </w:tc>
              <w:tc>
                <w:tcPr>
                  <w:tcW w:w="1428" w:type="pct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bCs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  <w:lang w:val="en-US" w:eastAsia="zh-CN"/>
                    </w:rPr>
                    <w:t>Kgce/t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715" w:type="pct"/>
                  <w:tcBorders>
                    <w:left w:val="doub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采矿工区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jc w:val="center"/>
                    <w:rPr>
                      <w:rFonts w:hint="default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2312200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880" w:firstLineChars="400"/>
                    <w:jc w:val="left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  <w:t>1831.85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880" w:firstLineChars="400"/>
                    <w:jc w:val="left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  <w:t>0.79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715" w:type="pct"/>
                  <w:tcBorders>
                    <w:left w:val="doub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选矿工区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jc w:val="center"/>
                    <w:rPr>
                      <w:rFonts w:hint="default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1623132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880" w:firstLineChars="400"/>
                    <w:jc w:val="left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  <w:t>5786.23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880" w:firstLineChars="400"/>
                    <w:jc w:val="left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  <w:t>3.56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" w:type="dxa"/>
          </w:tcPr>
          <w:p/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能源数据的收集策划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En6.6</w:t>
            </w:r>
          </w:p>
        </w:tc>
        <w:tc>
          <w:tcPr>
            <w:tcW w:w="10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该企业根据能源统计和能源核算以及成本考核等因素，对能源数据的收集进行了策划，并通过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生产统计表（日报表）的形式予以展示，按照数据收集策划的要求对能源消耗进行成本核算和考核，基本满足企业能源管理的要求。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但企业并未形成文件化或准则要求，建议企业逐步改进，已与企业进行沟通。</w:t>
            </w:r>
          </w:p>
        </w:tc>
        <w:tc>
          <w:tcPr>
            <w:tcW w:w="792" w:type="dxa"/>
          </w:tcPr>
          <w:p/>
          <w:p>
            <w:pPr>
              <w:pStyle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运行控制、沟通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En7.4/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6.6/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8.1/9.1.1</w:t>
            </w:r>
          </w:p>
        </w:tc>
        <w:tc>
          <w:tcPr>
            <w:tcW w:w="10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河北钢铁集团有限公司石人沟铁厂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是一家专业研发、生产和销售</w:t>
            </w:r>
            <w:r>
              <w:rPr>
                <w:rFonts w:hint="eastAsia" w:ascii="宋体" w:hAnsi="宋体" w:cs="Times New Roman"/>
                <w:lang w:val="en-US" w:eastAsia="zh-CN"/>
              </w:rPr>
              <w:t>启动器、继电器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的企业，公司产品广泛应用于</w:t>
            </w:r>
            <w:r>
              <w:rPr>
                <w:rFonts w:hint="eastAsia" w:ascii="宋体" w:hAnsi="宋体" w:cs="Times New Roman"/>
                <w:lang w:val="en-US" w:eastAsia="zh-CN"/>
              </w:rPr>
              <w:t>启动器、继电器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的生产、周转、运输、仓储等各个环节。引进</w:t>
            </w:r>
            <w:r>
              <w:rPr>
                <w:rFonts w:hint="eastAsia" w:ascii="宋体" w:hAnsi="宋体" w:cs="Times New Roman"/>
                <w:lang w:val="en-US" w:eastAsia="zh-CN"/>
              </w:rPr>
              <w:t>意大利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的先进技术和设备,为国内外</w:t>
            </w:r>
            <w:r>
              <w:rPr>
                <w:rFonts w:hint="eastAsia" w:ascii="宋体" w:hAnsi="宋体" w:cs="Times New Roman"/>
                <w:lang w:val="en-US" w:eastAsia="zh-CN"/>
              </w:rPr>
              <w:t>电器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客户提供高品质、的</w:t>
            </w:r>
            <w:r>
              <w:rPr>
                <w:rFonts w:hint="eastAsia" w:ascii="宋体" w:hAnsi="宋体" w:cs="Times New Roman"/>
                <w:lang w:val="en-US" w:eastAsia="zh-CN"/>
              </w:rPr>
              <w:t>启动器、继电器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。在发展历程中，秉承“质量和创新是企业生命线”的理念形成具有专业技术的设计团队，配备专业的材料检测室、运输包装实验室，为客户设计和定制实用、安全、经济的整体包装解决方案。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通过运用多个数据化管理系统，形成产、供、销科学之规划和管理，并可以完全根据客户之不同要求 设计、生产和安装，以此满足客户需要。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一、工艺流程：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5207635" cy="1129665"/>
                  <wp:effectExtent l="0" t="0" r="12065" b="63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635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生产控制情况：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hint="default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抽查：2021年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1-6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月份生产统计表（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月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报表）和202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年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1-6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月份生产统计表（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月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报表）分析</w:t>
            </w: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1-6能耗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耗与产品的消耗等数据，对能源消耗进行控制</w:t>
            </w:r>
          </w:p>
          <w:p>
            <w:pPr>
              <w:pStyle w:val="2"/>
            </w:pPr>
            <w:r>
              <w:drawing>
                <wp:inline distT="0" distB="0" distL="114300" distR="114300">
                  <wp:extent cx="6717030" cy="2662555"/>
                  <wp:effectExtent l="0" t="0" r="1270" b="444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7030" cy="266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三、设备管理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jc w:val="left"/>
              <w:textAlignment w:val="auto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提供：设备管理制度及生产设备台账，编制了设备管理制度和生产设备台账，记录生产设备45台，但未对主要耗能设备进行识别，也未对主要耗能设备的能耗情况进行测试。——问题项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drawing>
                <wp:inline distT="0" distB="0" distL="114300" distR="114300">
                  <wp:extent cx="5389245" cy="4509135"/>
                  <wp:effectExtent l="0" t="0" r="1905" b="5715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9245" cy="450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2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能源计量管理：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提供：C类测量设备管理台账（电表）、C类测量设备管理台账（水表）见下图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未对电表和水表的确认周期进行描述。——问题项</w:t>
            </w:r>
          </w:p>
          <w:tbl>
            <w:tblPr>
              <w:tblStyle w:val="10"/>
              <w:tblpPr w:leftFromText="180" w:rightFromText="180" w:vertAnchor="text" w:horzAnchor="page" w:tblpX="650" w:tblpY="268"/>
              <w:tblOverlap w:val="never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75"/>
              <w:gridCol w:w="676"/>
              <w:gridCol w:w="725"/>
              <w:gridCol w:w="725"/>
              <w:gridCol w:w="725"/>
              <w:gridCol w:w="725"/>
              <w:gridCol w:w="2"/>
              <w:gridCol w:w="723"/>
              <w:gridCol w:w="725"/>
              <w:gridCol w:w="725"/>
              <w:gridCol w:w="725"/>
              <w:gridCol w:w="4"/>
              <w:gridCol w:w="721"/>
              <w:gridCol w:w="725"/>
              <w:gridCol w:w="725"/>
              <w:gridCol w:w="73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2" w:hRule="atLeast"/>
              </w:trPr>
              <w:tc>
                <w:tcPr>
                  <w:tcW w:w="6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类别</w:t>
                  </w:r>
                </w:p>
              </w:tc>
              <w:tc>
                <w:tcPr>
                  <w:tcW w:w="2902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进出用能单位</w:t>
                  </w:r>
                </w:p>
              </w:tc>
              <w:tc>
                <w:tcPr>
                  <w:tcW w:w="2902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进出次级用能单位</w:t>
                  </w:r>
                </w:p>
              </w:tc>
              <w:tc>
                <w:tcPr>
                  <w:tcW w:w="2903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主要耗能设备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2" w:hRule="atLeast"/>
              </w:trPr>
              <w:tc>
                <w:tcPr>
                  <w:tcW w:w="6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67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应装数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安装数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配备率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完好率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应装数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安装数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配备率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完好率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应装数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安装数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配备率</w:t>
                  </w:r>
                </w:p>
              </w:tc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完好率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2" w:hRule="atLeast"/>
              </w:trPr>
              <w:tc>
                <w:tcPr>
                  <w:tcW w:w="6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67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%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%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%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%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%</w:t>
                  </w:r>
                </w:p>
              </w:tc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12" w:hRule="atLeast"/>
              </w:trPr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电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-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40" w:hRule="atLeast"/>
              </w:trPr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6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水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-</w:t>
                  </w:r>
                </w:p>
              </w:tc>
              <w:tc>
                <w:tcPr>
                  <w:tcW w:w="7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-</w:t>
                  </w:r>
                </w:p>
              </w:tc>
            </w:tr>
          </w:tbl>
          <w:p>
            <w:pPr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企业的电表是按照线路安装的，主要能耗设备没有安装专用电表，不符合要求（沟通交流）</w:t>
            </w:r>
          </w:p>
          <w:p>
            <w:pPr>
              <w:pStyle w:val="4"/>
              <w:spacing w:before="0" w:after="0" w:line="40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pStyle w:val="4"/>
              <w:spacing w:before="0" w:after="0" w:line="40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五、淘汰能耗落后工艺、设备概况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按照国家政策法规文件识别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河北钢铁集团有限公司石人沟铁厂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无相关能耗落后的工艺，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也无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淘汰落后设备。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能源绩效</w:t>
            </w:r>
          </w:p>
          <w:p>
            <w:pPr>
              <w:pStyle w:val="4"/>
              <w:spacing w:before="0" w:after="0" w:line="40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4"/>
                <w:lang w:val="en-US" w:eastAsia="zh-CN"/>
              </w:rPr>
              <w:t>能源限额管理：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4"/>
                <w:lang w:val="en-US" w:eastAsia="zh-CN"/>
              </w:rPr>
              <w:t>GB31336-2014铁矿地下开采单位产品能源消耗限额</w:t>
            </w:r>
          </w:p>
          <w:p>
            <w:pP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4"/>
                <w:lang w:val="en-US" w:eastAsia="zh-CN"/>
              </w:rPr>
              <w:t>GB 31337-2014 铁矿选矿单位产品能源消耗限额</w:t>
            </w:r>
          </w:p>
          <w:p>
            <w:pPr>
              <w:pStyle w:val="2"/>
              <w:rPr>
                <w:rFonts w:hint="eastAsia" w:ascii="宋体" w:hAnsi="宋体" w:cs="Times New Roman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4"/>
                <w:lang w:val="en-US" w:eastAsia="zh-CN"/>
              </w:rPr>
              <w:t>上述两个标准规定：采矿工序能源消耗限额为不大于0.9kgce/t。选矿工序能源消耗限额为不大于4kgce/t。</w:t>
            </w:r>
          </w:p>
          <w:p>
            <w:pPr>
              <w:pStyle w:val="2"/>
              <w:rPr>
                <w:rFonts w:hint="default" w:ascii="宋体" w:hAnsi="宋体" w:cs="Times New Roman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4"/>
                <w:lang w:val="en-US" w:eastAsia="zh-CN"/>
              </w:rPr>
              <w:t>经测算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河北钢铁集团有限公司石人沟铁厂2020年的采矿单位产品能耗为0.79kgce/t，选矿工序单位产品能耗为：3.56kgce/t。满足标准限额的要求。</w:t>
            </w:r>
          </w:p>
          <w:p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Times New Roman"/>
                <w:szCs w:val="22"/>
                <w:lang w:val="en-US" w:eastAsia="zh-CN"/>
              </w:rPr>
            </w:pPr>
            <w:bookmarkStart w:id="0" w:name="_Toc488155114"/>
            <w:r>
              <w:rPr>
                <w:rFonts w:hint="eastAsia" w:ascii="宋体" w:hAnsi="宋体" w:eastAsia="宋体" w:cs="Times New Roman"/>
                <w:szCs w:val="22"/>
                <w:lang w:val="en-US" w:eastAsia="zh-CN"/>
              </w:rPr>
              <w:t>能源利用状况评审</w:t>
            </w:r>
            <w:bookmarkEnd w:id="0"/>
          </w:p>
          <w:p>
            <w:pPr>
              <w:pStyle w:val="4"/>
              <w:spacing w:before="0" w:after="0" w:line="400" w:lineRule="exact"/>
              <w:rPr>
                <w:rFonts w:ascii="黑体" w:hAnsi="黑体"/>
                <w:szCs w:val="21"/>
              </w:rPr>
            </w:pPr>
            <w:bookmarkStart w:id="1" w:name="_Toc488155115"/>
            <w:r>
              <w:rPr>
                <w:rFonts w:ascii="黑体" w:hAnsi="黑体"/>
                <w:b w:val="0"/>
                <w:bCs w:val="0"/>
                <w:sz w:val="21"/>
                <w:szCs w:val="21"/>
              </w:rPr>
              <w:t>能源消</w:t>
            </w:r>
            <w:r>
              <w:rPr>
                <w:rFonts w:hint="eastAsia" w:ascii="黑体" w:hAnsi="黑体"/>
                <w:b w:val="0"/>
                <w:bCs w:val="0"/>
                <w:sz w:val="21"/>
                <w:szCs w:val="21"/>
              </w:rPr>
              <w:t>耗结</w:t>
            </w:r>
            <w:r>
              <w:rPr>
                <w:rFonts w:ascii="黑体" w:hAnsi="黑体"/>
                <w:b w:val="0"/>
                <w:bCs w:val="0"/>
                <w:sz w:val="21"/>
                <w:szCs w:val="21"/>
              </w:rPr>
              <w:t>构</w:t>
            </w:r>
            <w:r>
              <w:rPr>
                <w:rFonts w:hint="eastAsia" w:ascii="黑体" w:hAnsi="黑体"/>
                <w:b w:val="0"/>
                <w:bCs w:val="0"/>
                <w:sz w:val="21"/>
                <w:szCs w:val="21"/>
              </w:rPr>
              <w:t>分析</w:t>
            </w:r>
            <w:bookmarkEnd w:id="1"/>
          </w:p>
          <w:p>
            <w:pPr>
              <w:spacing w:line="400" w:lineRule="exact"/>
              <w:ind w:firstLine="210" w:firstLineChars="100"/>
            </w:pPr>
            <w:r>
              <w:rPr>
                <w:rFonts w:hint="eastAsia"/>
                <w:lang w:val="en-US" w:eastAsia="zh-CN"/>
              </w:rPr>
              <w:t>2019年</w:t>
            </w:r>
            <w:r>
              <w:t>，企业主要消耗能源种类包括电力</w:t>
            </w:r>
            <w:r>
              <w:rPr>
                <w:rFonts w:hint="eastAsia"/>
                <w:lang w:val="en-US" w:eastAsia="zh-CN"/>
              </w:rPr>
              <w:t>、柴油</w:t>
            </w:r>
            <w:r>
              <w:t>。</w:t>
            </w:r>
          </w:p>
          <w:p>
            <w:pPr>
              <w:pStyle w:val="9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2019年能源消耗情况：</w:t>
            </w:r>
          </w:p>
          <w:tbl>
            <w:tblPr>
              <w:tblStyle w:val="10"/>
              <w:tblpPr w:leftFromText="180" w:rightFromText="180" w:vertAnchor="text" w:horzAnchor="page" w:tblpX="187" w:tblpY="122"/>
              <w:tblOverlap w:val="never"/>
              <w:tblW w:w="1007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2"/>
              <w:gridCol w:w="1265"/>
              <w:gridCol w:w="1186"/>
              <w:gridCol w:w="1171"/>
              <w:gridCol w:w="1186"/>
              <w:gridCol w:w="1186"/>
              <w:gridCol w:w="1126"/>
              <w:gridCol w:w="118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17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1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2019年能源消耗结构表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7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62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采矿工序</w:t>
                  </w:r>
                </w:p>
              </w:tc>
              <w:tc>
                <w:tcPr>
                  <w:tcW w:w="3498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选矿工序</w:t>
                  </w: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17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能 源</w:t>
                  </w:r>
                </w:p>
              </w:tc>
              <w:tc>
                <w:tcPr>
                  <w:tcW w:w="1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实物量</w:t>
                  </w: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能耗（tce)</w:t>
                  </w:r>
                </w:p>
              </w:tc>
              <w:tc>
                <w:tcPr>
                  <w:tcW w:w="11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百分比</w:t>
                  </w: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实物量</w:t>
                  </w: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能耗（tce)</w:t>
                  </w:r>
                </w:p>
              </w:tc>
              <w:tc>
                <w:tcPr>
                  <w:tcW w:w="1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百分比</w:t>
                  </w: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折标系数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7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汽油（t)</w:t>
                  </w:r>
                </w:p>
              </w:tc>
              <w:tc>
                <w:tcPr>
                  <w:tcW w:w="1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10.43 </w:t>
                  </w: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15.34 </w:t>
                  </w:r>
                </w:p>
              </w:tc>
              <w:tc>
                <w:tcPr>
                  <w:tcW w:w="11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0.75%</w:t>
                  </w: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3.6</w:t>
                  </w: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5.30 </w:t>
                  </w:r>
                </w:p>
              </w:tc>
              <w:tc>
                <w:tcPr>
                  <w:tcW w:w="1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0.09%</w:t>
                  </w: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1.4714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17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柴油（t)</w:t>
                  </w:r>
                </w:p>
              </w:tc>
              <w:tc>
                <w:tcPr>
                  <w:tcW w:w="1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314.73</w:t>
                  </w: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458.60 </w:t>
                  </w:r>
                </w:p>
              </w:tc>
              <w:tc>
                <w:tcPr>
                  <w:tcW w:w="11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22.33%</w:t>
                  </w: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4.80 </w:t>
                  </w: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6.99 </w:t>
                  </w:r>
                </w:p>
              </w:tc>
              <w:tc>
                <w:tcPr>
                  <w:tcW w:w="1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0.13%</w:t>
                  </w: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1.4571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7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电（万kwh)</w:t>
                  </w:r>
                </w:p>
              </w:tc>
              <w:tc>
                <w:tcPr>
                  <w:tcW w:w="1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1285.09 </w:t>
                  </w: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1579.37 </w:t>
                  </w:r>
                </w:p>
              </w:tc>
              <w:tc>
                <w:tcPr>
                  <w:tcW w:w="11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76.92%</w:t>
                  </w: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3768.17 </w:t>
                  </w: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4631.09 </w:t>
                  </w:r>
                </w:p>
              </w:tc>
              <w:tc>
                <w:tcPr>
                  <w:tcW w:w="1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82.80%</w:t>
                  </w: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1.229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7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醇基燃料（t)</w:t>
                  </w:r>
                </w:p>
              </w:tc>
              <w:tc>
                <w:tcPr>
                  <w:tcW w:w="1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950.00 </w:t>
                  </w: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950.00 </w:t>
                  </w:r>
                </w:p>
              </w:tc>
              <w:tc>
                <w:tcPr>
                  <w:tcW w:w="1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16.98%</w:t>
                  </w: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7" w:hRule="atLeast"/>
              </w:trPr>
              <w:tc>
                <w:tcPr>
                  <w:tcW w:w="17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1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2053.31 </w:t>
                  </w:r>
                </w:p>
              </w:tc>
              <w:tc>
                <w:tcPr>
                  <w:tcW w:w="11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5593.38 </w:t>
                  </w:r>
                </w:p>
              </w:tc>
              <w:tc>
                <w:tcPr>
                  <w:tcW w:w="11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pStyle w:val="9"/>
              <w:rPr>
                <w:rFonts w:hint="default"/>
                <w:lang w:val="en-US" w:eastAsia="zh-CN"/>
              </w:rPr>
            </w:pPr>
          </w:p>
          <w:tbl>
            <w:tblPr>
              <w:tblStyle w:val="10"/>
              <w:tblpPr w:leftFromText="180" w:rightFromText="180" w:vertAnchor="text" w:horzAnchor="page" w:tblpX="264" w:tblpY="182"/>
              <w:tblOverlap w:val="never"/>
              <w:tblW w:w="97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8"/>
              <w:gridCol w:w="1573"/>
              <w:gridCol w:w="1656"/>
              <w:gridCol w:w="1628"/>
              <w:gridCol w:w="1573"/>
              <w:gridCol w:w="166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</w:trPr>
              <w:tc>
                <w:tcPr>
                  <w:tcW w:w="97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2019年单位产品综合能耗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3" w:hRule="atLeast"/>
              </w:trPr>
              <w:tc>
                <w:tcPr>
                  <w:tcW w:w="162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采矿工序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开采量（t)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采矿单位产品综合能耗(kgce/t)</w:t>
                  </w:r>
                </w:p>
              </w:tc>
              <w:tc>
                <w:tcPr>
                  <w:tcW w:w="162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选矿工序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选矿处理原矿量（t)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选矿单位产品综合能耗(kgce/t)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62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2260711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0.91 </w:t>
                  </w:r>
                </w:p>
              </w:tc>
              <w:tc>
                <w:tcPr>
                  <w:tcW w:w="162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1567207</w:t>
                  </w:r>
                </w:p>
              </w:tc>
              <w:tc>
                <w:tcPr>
                  <w:tcW w:w="16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3.57 </w:t>
                  </w:r>
                </w:p>
              </w:tc>
            </w:tr>
          </w:tbl>
          <w:p>
            <w:pPr>
              <w:pStyle w:val="9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9"/>
              <w:rPr>
                <w:rFonts w:hint="default"/>
                <w:lang w:val="en-US" w:eastAsia="zh-CN"/>
              </w:rPr>
            </w:pPr>
          </w:p>
          <w:p>
            <w:pPr>
              <w:pStyle w:val="9"/>
              <w:rPr>
                <w:rFonts w:hint="default"/>
                <w:lang w:val="en-US" w:eastAsia="zh-CN"/>
              </w:rPr>
            </w:pPr>
          </w:p>
          <w:p>
            <w:pPr>
              <w:pStyle w:val="9"/>
              <w:rPr>
                <w:rFonts w:hint="default"/>
                <w:lang w:val="en-US" w:eastAsia="zh-CN"/>
              </w:rPr>
            </w:pPr>
          </w:p>
          <w:p>
            <w:pPr>
              <w:pStyle w:val="9"/>
              <w:rPr>
                <w:rFonts w:hint="default"/>
                <w:lang w:val="en-US" w:eastAsia="zh-CN"/>
              </w:rPr>
            </w:pPr>
          </w:p>
          <w:p>
            <w:pPr>
              <w:pStyle w:val="9"/>
              <w:rPr>
                <w:rFonts w:hint="default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9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根据上述2019年的能源消耗情况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及国家限额要求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，制定公司能源基准，以两年的平均值为基准，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即：采矿基准为0.9kgce/t、选矿基准为4kgce/t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。</w:t>
            </w:r>
          </w:p>
          <w:p>
            <w:pPr>
              <w:pStyle w:val="9"/>
              <w:ind w:left="0" w:leftChars="0" w:firstLine="0" w:firstLineChars="0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2020年的能源目标为：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采矿基准为0.9kgce/t、选矿基准为4kgce/t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。</w:t>
            </w:r>
          </w:p>
          <w:p>
            <w:pPr>
              <w:pStyle w:val="9"/>
              <w:ind w:left="0" w:leftChars="0" w:firstLine="0" w:firstLineChars="0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2020年能源消耗情况：</w:t>
            </w:r>
          </w:p>
          <w:tbl>
            <w:tblPr>
              <w:tblStyle w:val="10"/>
              <w:tblW w:w="4728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9"/>
              <w:gridCol w:w="2855"/>
              <w:gridCol w:w="2855"/>
              <w:gridCol w:w="28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4" w:hRule="atLeast"/>
              </w:trPr>
              <w:tc>
                <w:tcPr>
                  <w:tcW w:w="715" w:type="pct"/>
                  <w:tcBorders>
                    <w:top w:val="double" w:color="auto" w:sz="4" w:space="0"/>
                    <w:left w:val="doub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项  目</w:t>
                  </w:r>
                </w:p>
              </w:tc>
              <w:tc>
                <w:tcPr>
                  <w:tcW w:w="1428" w:type="pct"/>
                  <w:tcBorders>
                    <w:top w:val="doub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产品生产量</w:t>
                  </w:r>
                </w:p>
              </w:tc>
              <w:tc>
                <w:tcPr>
                  <w:tcW w:w="1428" w:type="pct"/>
                  <w:tcBorders>
                    <w:top w:val="doub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综合能耗</w:t>
                  </w:r>
                </w:p>
              </w:tc>
              <w:tc>
                <w:tcPr>
                  <w:tcW w:w="1428" w:type="pct"/>
                  <w:tcBorders>
                    <w:top w:val="doub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  <w:lang w:val="en-US" w:eastAsia="zh-CN"/>
                    </w:rPr>
                    <w:t>单位</w:t>
                  </w:r>
                  <w:r>
                    <w:rPr>
                      <w:rFonts w:hint="eastAsia" w:ascii="黑体" w:hAnsi="黑体" w:eastAsia="黑体"/>
                      <w:szCs w:val="21"/>
                    </w:rPr>
                    <w:t>产品单位综合能耗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715" w:type="pct"/>
                  <w:tcBorders>
                    <w:left w:val="doub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单  位</w:t>
                  </w:r>
                </w:p>
              </w:tc>
              <w:tc>
                <w:tcPr>
                  <w:tcW w:w="1428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t</w:t>
                  </w:r>
                </w:p>
              </w:tc>
              <w:tc>
                <w:tcPr>
                  <w:tcW w:w="1428" w:type="pct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tce</w:t>
                  </w:r>
                </w:p>
              </w:tc>
              <w:tc>
                <w:tcPr>
                  <w:tcW w:w="1428" w:type="pct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bCs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  <w:lang w:val="en-US" w:eastAsia="zh-CN"/>
                    </w:rPr>
                    <w:t>Kgce/t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715" w:type="pct"/>
                  <w:tcBorders>
                    <w:left w:val="doub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采矿工区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jc w:val="center"/>
                    <w:rPr>
                      <w:rFonts w:hint="default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2312200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880" w:firstLineChars="400"/>
                    <w:jc w:val="left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  <w:t>1831.85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880" w:firstLineChars="400"/>
                    <w:jc w:val="left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  <w:t>0.79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715" w:type="pct"/>
                  <w:tcBorders>
                    <w:left w:val="doub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选矿工区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jc w:val="center"/>
                    <w:rPr>
                      <w:rFonts w:hint="default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default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1623132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880" w:firstLineChars="400"/>
                    <w:jc w:val="left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  <w:t>5786.23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880" w:firstLineChars="400"/>
                    <w:jc w:val="left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  <w:t>3.56</w:t>
                  </w:r>
                </w:p>
              </w:tc>
            </w:tr>
          </w:tbl>
          <w:p>
            <w:pPr>
              <w:pStyle w:val="9"/>
              <w:ind w:left="0" w:leftChars="0" w:firstLine="0" w:firstLineChars="0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2020年完成了制定的目标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再根据2019年、2020年3年的能耗情况制定2021年目标为：采矿基准为0.9kgce/t、选矿基准为4kgce/t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。</w:t>
            </w:r>
          </w:p>
          <w:p>
            <w:pPr>
              <w:pStyle w:val="9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2021年1-6月份能源情况为：</w:t>
            </w:r>
          </w:p>
          <w:tbl>
            <w:tblPr>
              <w:tblStyle w:val="10"/>
              <w:tblW w:w="4728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9"/>
              <w:gridCol w:w="2855"/>
              <w:gridCol w:w="2855"/>
              <w:gridCol w:w="28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4" w:hRule="atLeast"/>
              </w:trPr>
              <w:tc>
                <w:tcPr>
                  <w:tcW w:w="715" w:type="pct"/>
                  <w:tcBorders>
                    <w:top w:val="double" w:color="auto" w:sz="4" w:space="0"/>
                    <w:left w:val="doub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项  目</w:t>
                  </w:r>
                </w:p>
              </w:tc>
              <w:tc>
                <w:tcPr>
                  <w:tcW w:w="1428" w:type="pct"/>
                  <w:tcBorders>
                    <w:top w:val="doub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产品生产量</w:t>
                  </w:r>
                </w:p>
              </w:tc>
              <w:tc>
                <w:tcPr>
                  <w:tcW w:w="1428" w:type="pct"/>
                  <w:tcBorders>
                    <w:top w:val="doub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综合能耗</w:t>
                  </w:r>
                </w:p>
              </w:tc>
              <w:tc>
                <w:tcPr>
                  <w:tcW w:w="1428" w:type="pct"/>
                  <w:tcBorders>
                    <w:top w:val="doub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  <w:lang w:val="en-US" w:eastAsia="zh-CN"/>
                    </w:rPr>
                    <w:t>单位</w:t>
                  </w:r>
                  <w:r>
                    <w:rPr>
                      <w:rFonts w:hint="eastAsia" w:ascii="黑体" w:hAnsi="黑体" w:eastAsia="黑体"/>
                      <w:szCs w:val="21"/>
                    </w:rPr>
                    <w:t>产品单位综合能耗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715" w:type="pct"/>
                  <w:tcBorders>
                    <w:left w:val="doub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单  位</w:t>
                  </w:r>
                </w:p>
              </w:tc>
              <w:tc>
                <w:tcPr>
                  <w:tcW w:w="1428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t</w:t>
                  </w:r>
                </w:p>
              </w:tc>
              <w:tc>
                <w:tcPr>
                  <w:tcW w:w="1428" w:type="pct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tce</w:t>
                  </w:r>
                </w:p>
              </w:tc>
              <w:tc>
                <w:tcPr>
                  <w:tcW w:w="1428" w:type="pct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bCs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kern w:val="0"/>
                      <w:szCs w:val="21"/>
                      <w:lang w:val="en-US" w:eastAsia="zh-CN"/>
                    </w:rPr>
                    <w:t>Kgce/t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715" w:type="pct"/>
                  <w:tcBorders>
                    <w:left w:val="doub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采矿工区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jc w:val="center"/>
                    <w:rPr>
                      <w:rFonts w:hint="default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1120123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960" w:firstLineChars="400"/>
                    <w:jc w:val="left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849.88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960" w:firstLineChars="400"/>
                    <w:jc w:val="left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0.76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715" w:type="pct"/>
                  <w:tcBorders>
                    <w:left w:val="doub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选矿工区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jc w:val="center"/>
                    <w:rPr>
                      <w:rFonts w:hint="default" w:ascii="宋体" w:hAnsi="宋体" w:cs="宋体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789485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960" w:firstLineChars="400"/>
                    <w:jc w:val="left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2800.98 </w:t>
                  </w:r>
                </w:p>
              </w:tc>
              <w:tc>
                <w:tcPr>
                  <w:tcW w:w="1428" w:type="pct"/>
                  <w:noWrap w:val="0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960" w:firstLineChars="400"/>
                    <w:jc w:val="left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3.55 </w:t>
                  </w:r>
                </w:p>
              </w:tc>
            </w:tr>
          </w:tbl>
          <w:p>
            <w:pPr>
              <w:pStyle w:val="9"/>
              <w:ind w:left="0" w:leftChars="0" w:firstLine="0" w:firstLineChars="0"/>
              <w:rPr>
                <w:rFonts w:ascii="黑体" w:hAnsi="黑体" w:eastAsia="黑体"/>
                <w:sz w:val="21"/>
                <w:szCs w:val="21"/>
              </w:rPr>
            </w:pPr>
          </w:p>
          <w:p>
            <w:pPr>
              <w:pStyle w:val="9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2021年1-6月份没有超目标，根据企业的用能情况，7-9月份是用能高峰，预计2021年下半年能耗情况会增加。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七、现场巡视情况：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现场查看生产控制和设备运行情况，部分生产设备正在运行现场生产秩序良好，未发现跑冒滴漏现象；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现场计量设备有计量确认合格证。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ind w:left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t>生产控制及设备运行情况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640965" cy="1980565"/>
                  <wp:effectExtent l="0" t="0" r="635" b="635"/>
                  <wp:docPr id="10" name="图片 10" descr="1dbeba1b7d4476bc222ddf485d44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dbeba1b7d4476bc222ddf485d4448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965" cy="198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81910" cy="1951355"/>
                  <wp:effectExtent l="0" t="0" r="8890" b="4445"/>
                  <wp:docPr id="14" name="图片 14" descr="94ee0a4bcf2db6b5694758d401e47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94ee0a4bcf2db6b5694758d401e478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910" cy="195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877185" cy="2157730"/>
                  <wp:effectExtent l="0" t="0" r="5715" b="1270"/>
                  <wp:docPr id="15" name="图片 15" descr="c7b7dfe8b1b1a43309222a97e669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7b7dfe8b1b1a43309222a97e66979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85" cy="215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942590" cy="2121535"/>
                  <wp:effectExtent l="0" t="0" r="3810" b="12065"/>
                  <wp:docPr id="16" name="图片 16" descr="7e89af1ab06582a0cb1382f36363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7e89af1ab06582a0cb1382f363633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590" cy="212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078480" cy="2590800"/>
                  <wp:effectExtent l="0" t="0" r="7620" b="0"/>
                  <wp:docPr id="18" name="图片 18" descr="58a5295d856fd34d0fbbcf0766b9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58a5295d856fd34d0fbbcf0766b978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8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878455" cy="2590165"/>
                  <wp:effectExtent l="0" t="0" r="4445" b="635"/>
                  <wp:docPr id="11" name="图片 11" descr="bbdd05cca6dc62f6e39401f2b2c18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bbdd05cca6dc62f6e39401f2b2c18f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259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</w:tcPr>
          <w:p/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能源绩效和能源管理体系的监视、测量、分析和评价 、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En9.1.1</w:t>
            </w:r>
          </w:p>
        </w:tc>
        <w:tc>
          <w:tcPr>
            <w:tcW w:w="10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抽查能源统计分析情况：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从2019年、2020年2021年1-6月份的单位产品能耗采矿0.91kgce/t、0.797kgce/t、0.76kgce/t，选矿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3.57kgce/t、3.56kgce/t、3.55kgce/t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来看，企业的单位产品能耗呈逐步下降之势，企业控制的能耗情况良好。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因此，企业应继续保持这种用能状况，操作设备时按操作规程进行操作，保持这种继续下降的形式。</w:t>
            </w:r>
          </w:p>
        </w:tc>
        <w:tc>
          <w:tcPr>
            <w:tcW w:w="792" w:type="dxa"/>
          </w:tcPr>
          <w:p/>
          <w:p>
            <w:pPr>
              <w:pStyle w:val="9"/>
            </w:pPr>
          </w:p>
          <w:p>
            <w:pPr>
              <w:pStyle w:val="9"/>
              <w:ind w:left="0" w:leftChars="0" w:firstLine="0" w:firstLineChars="0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内部审核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En9.2</w:t>
            </w:r>
          </w:p>
        </w:tc>
        <w:tc>
          <w:tcPr>
            <w:tcW w:w="10797" w:type="dxa"/>
          </w:tcPr>
          <w:p>
            <w:pPr>
              <w:pStyle w:val="9"/>
              <w:ind w:left="0" w:leftChars="0" w:firstLine="0" w:firstLineChars="0"/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</w:pPr>
            <w:bookmarkStart w:id="2" w:name="_GoBack"/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策划编制有《内部审核控制程序》，内容规定了公司为了验证能源管理体系是否符合标准的要求，是否得到有效实施，保持和持续改进，为能源管理体系保持有效运行提供证据开展的活动。并规定了每年内审至少一次，当发生重大变更可增加审核次数。</w:t>
            </w:r>
          </w:p>
          <w:p>
            <w:pPr>
              <w:pStyle w:val="9"/>
              <w:ind w:left="0" w:leftChars="0" w:firstLine="0" w:firstLineChars="0"/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公司自能源管理体系运行以来，策划实施了一次内部审核。</w:t>
            </w:r>
          </w:p>
          <w:p>
            <w:pPr>
              <w:pStyle w:val="9"/>
              <w:ind w:left="0" w:leftChars="0" w:firstLine="0" w:firstLineChars="0"/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 xml:space="preserve">出示《能源内部审核计划》  编审批齐全         </w:t>
            </w:r>
          </w:p>
          <w:p>
            <w:pPr>
              <w:pStyle w:val="9"/>
              <w:ind w:left="0" w:leftChars="0" w:firstLine="0" w:firstLineChars="0"/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内审日期：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2021年06月11-12日</w:t>
            </w:r>
          </w:p>
          <w:p>
            <w:pP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成立了内审组（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组长A：温占军 、组员B：李晓东、组员C：张东、组员D：李鑫</w:t>
            </w: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）分二个组进行审核，分工基本合理，内审员未审核本部门，具有公正性。</w:t>
            </w:r>
          </w:p>
          <w:p>
            <w:pPr>
              <w:pStyle w:val="9"/>
              <w:ind w:left="0" w:leftChars="0" w:firstLine="0" w:firstLineChars="0"/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内审计划内容包括内审目的、范围、依据和方法，基本覆盖能源标准全条款以及公司涉及的部门和场所，出示内审检查记录，记录内容基本按照内审计划安排进行，记录较为简单（口头沟通）</w:t>
            </w:r>
          </w:p>
          <w:p>
            <w:pPr>
              <w:pStyle w:val="9"/>
              <w:ind w:left="0" w:leftChars="0" w:firstLine="0" w:firstLineChars="0"/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本次内审发现一项不符合，发现部门：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设备保障中心。</w:t>
            </w:r>
          </w:p>
          <w:p>
            <w:pPr>
              <w:spacing w:before="100"/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不符合事实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法律法规清单中未包括河北省等地方政策、法规等。不符合4.2条款要求。</w:t>
            </w: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判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一般</w:t>
            </w: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不符合</w:t>
            </w:r>
          </w:p>
          <w:p>
            <w:pPr>
              <w:pStyle w:val="9"/>
              <w:ind w:left="0" w:leftChars="0" w:firstLine="0" w:firstLineChars="0"/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公司组织对不符合项进行了原因分析，制订了相应纠正/纠正措施，目前纠正措施正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已经</w:t>
            </w: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完成）。</w:t>
            </w:r>
          </w:p>
          <w:p>
            <w:pPr>
              <w:pStyle w:val="9"/>
              <w:ind w:left="0" w:leftChars="0" w:firstLine="0" w:firstLineChars="0"/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出示《能源管理体系内审报告》内审结论：公司建立的能源管理体系基本符合标准要求，适宜公司现状，能源管理体系运行基本有效。</w:t>
            </w:r>
          </w:p>
          <w:p>
            <w:pPr>
              <w:pStyle w:val="9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lang w:val="en-US" w:eastAsia="zh-CN" w:bidi="ar-SA"/>
              </w:rPr>
              <w:t>“内审报告”编审批齐全，并发放至公司领导及各部门。</w:t>
            </w:r>
            <w:bookmarkEnd w:id="2"/>
          </w:p>
        </w:tc>
        <w:tc>
          <w:tcPr>
            <w:tcW w:w="792" w:type="dxa"/>
          </w:tcPr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不符合纠正/持续改进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En10.1/</w:t>
            </w:r>
          </w:p>
          <w:p>
            <w:pPr>
              <w:pStyle w:val="9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10.2</w:t>
            </w:r>
          </w:p>
        </w:tc>
        <w:tc>
          <w:tcPr>
            <w:tcW w:w="10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纠正措施：给上述设备加电表，同时核查其他需要单独计量的重点耗能设备，也一并加装电表。形成新的《计量器具配备表》。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现场验证：纠正措施有效。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该企业与大专院校合作进行研发和实验现场</w:t>
            </w:r>
          </w:p>
          <w:p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pStyle w:val="9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92" w:type="dxa"/>
          </w:tcPr>
          <w:p/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</w:t>
            </w:r>
          </w:p>
        </w:tc>
        <w:tc>
          <w:tcPr>
            <w:tcW w:w="960" w:type="dxa"/>
          </w:tcPr>
          <w:p>
            <w:pPr>
              <w:pStyle w:val="9"/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En8.3</w:t>
            </w:r>
          </w:p>
        </w:tc>
        <w:tc>
          <w:tcPr>
            <w:tcW w:w="10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提供《合格供方名录》</w:t>
            </w:r>
          </w:p>
          <w:p>
            <w:pPr>
              <w:pStyle w:val="9"/>
              <w:ind w:left="0" w:leftChars="0" w:firstLine="480" w:firstLineChars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抽查《合格供方评价表》</w:t>
            </w:r>
          </w:p>
          <w:p>
            <w:pPr>
              <w:pStyle w:val="9"/>
              <w:ind w:left="0" w:leftChars="0" w:firstLine="480" w:firstLineChars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pStyle w:val="9"/>
              <w:ind w:left="0" w:leftChars="0" w:firstLine="480" w:firstLineChars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6362700" cy="1160145"/>
                  <wp:effectExtent l="0" t="0" r="0" b="19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6471920" cy="1365250"/>
                  <wp:effectExtent l="0" t="0" r="5080" b="635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192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6459220" cy="1362710"/>
                  <wp:effectExtent l="0" t="0" r="17780" b="889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22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</w:p>
          <w:p>
            <w:pPr>
              <w:pStyle w:val="9"/>
              <w:rPr>
                <w:rFonts w:hint="default" w:ascii="Times New Roman" w:hAnsi="Times New Roman" w:eastAsia="宋体" w:cs="Times New Roman"/>
                <w:szCs w:val="22"/>
                <w:lang w:val="en-US" w:eastAsia="zh-CN"/>
              </w:rPr>
            </w:pPr>
          </w:p>
          <w:p>
            <w:pPr>
              <w:pStyle w:val="9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抽查《产品报价单》</w:t>
            </w:r>
          </w:p>
          <w:p>
            <w:pPr>
              <w:pStyle w:val="9"/>
              <w:rPr>
                <w:rFonts w:hint="default" w:cs="Times New Roman"/>
                <w:szCs w:val="22"/>
                <w:lang w:val="en-US" w:eastAsia="zh-CN"/>
              </w:rPr>
            </w:pPr>
          </w:p>
          <w:p>
            <w:pPr>
              <w:pStyle w:val="9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抽《购销合同》</w:t>
            </w:r>
          </w:p>
          <w:p>
            <w:pPr>
              <w:pStyle w:val="9"/>
              <w:rPr>
                <w:rFonts w:hint="default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 xml:space="preserve">   </w:t>
            </w:r>
          </w:p>
          <w:p>
            <w:pPr>
              <w:pStyle w:val="9"/>
              <w:rPr>
                <w:rFonts w:hint="default" w:cs="Times New Roman"/>
                <w:szCs w:val="22"/>
                <w:lang w:val="en-US"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cs="Times New Roman"/>
                <w:szCs w:val="22"/>
                <w:lang w:val="en-US" w:eastAsia="zh-CN"/>
              </w:rPr>
            </w:pPr>
          </w:p>
          <w:p>
            <w:pPr>
              <w:pStyle w:val="9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drawing>
                <wp:inline distT="0" distB="0" distL="114300" distR="114300">
                  <wp:extent cx="3332480" cy="4583430"/>
                  <wp:effectExtent l="0" t="0" r="1270" b="7620"/>
                  <wp:docPr id="9" name="图片 9" descr="微信图片_20210812105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1081210555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2480" cy="458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ind w:left="0" w:leftChars="0" w:firstLine="240" w:firstLineChars="100"/>
              <w:rPr>
                <w:rFonts w:hint="eastAsia" w:cs="Times New Roman"/>
                <w:szCs w:val="22"/>
                <w:lang w:val="en-US" w:eastAsia="zh-CN"/>
              </w:rPr>
            </w:pPr>
          </w:p>
          <w:p>
            <w:pPr>
              <w:pStyle w:val="9"/>
              <w:ind w:left="0" w:leftChars="0" w:firstLine="240" w:firstLineChars="100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抽《相关方告知书》</w:t>
            </w:r>
          </w:p>
          <w:p>
            <w:pPr>
              <w:pStyle w:val="9"/>
              <w:ind w:left="0" w:leftChars="0" w:firstLine="0" w:firstLineChars="0"/>
              <w:rPr>
                <w:rFonts w:hint="default" w:cs="Times New Roman"/>
                <w:szCs w:val="22"/>
                <w:lang w:val="en-US" w:eastAsia="zh-CN"/>
              </w:rPr>
            </w:pPr>
          </w:p>
        </w:tc>
        <w:tc>
          <w:tcPr>
            <w:tcW w:w="792" w:type="dxa"/>
          </w:tcPr>
          <w:p/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/>
    <w:p>
      <w:pPr>
        <w:pStyle w:val="6"/>
      </w:pP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81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81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生产技术科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李晓东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李春元</w:t>
            </w:r>
          </w:p>
        </w:tc>
        <w:tc>
          <w:tcPr>
            <w:tcW w:w="80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81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周涛      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8.10</w:t>
            </w:r>
          </w:p>
        </w:tc>
        <w:tc>
          <w:tcPr>
            <w:tcW w:w="80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781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szCs w:val="21"/>
              </w:rPr>
              <w:t xml:space="preserve">5.3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 xml:space="preserve">6.2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/7.4/</w:t>
            </w:r>
            <w:r>
              <w:rPr>
                <w:rFonts w:hint="eastAsia" w:ascii="宋体" w:hAnsi="宋体"/>
                <w:szCs w:val="21"/>
              </w:rPr>
              <w:t>8.1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/8.2/10.1</w:t>
            </w:r>
          </w:p>
        </w:tc>
        <w:tc>
          <w:tcPr>
            <w:tcW w:w="80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组织的岗位、</w:t>
            </w:r>
            <w:r>
              <w:rPr>
                <w:rFonts w:hint="eastAsia"/>
                <w:lang w:val="en-US" w:eastAsia="zh-CN"/>
              </w:rPr>
              <w:t>职责权限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En5.3</w:t>
            </w:r>
          </w:p>
        </w:tc>
        <w:tc>
          <w:tcPr>
            <w:tcW w:w="10781" w:type="dxa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生产技术科5人。主要职责是老产品技术改进；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1、在工程设计和工艺规化时，严格执行有关的安全标准和规程，充分考虑操作人员的安全和健康。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2、在推广新技术、新材料、新工艺时，考虑可能出现的不安全因素和问题。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3、负责工艺技术操作规程的审核，并监督实施情况。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4、参与事故的调查、分析，从技术方面查找事故原因，提出防范措施。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5、组织建设项目的设计审查工作，监督施工质量。对工程的施工质量负责。</w:t>
            </w: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6、严格贯彻、落实与施工项目有关的安全规程、标准，严禁施工中违反设计要求，负责施工过程的安全管理。</w:t>
            </w:r>
          </w:p>
        </w:tc>
        <w:tc>
          <w:tcPr>
            <w:tcW w:w="808" w:type="dxa"/>
          </w:tcPr>
          <w:p/>
          <w:p>
            <w:pPr>
              <w:pStyle w:val="9"/>
            </w:pPr>
          </w:p>
          <w:p>
            <w:pPr>
              <w:pStyle w:val="9"/>
              <w:ind w:left="0" w:leftChars="0" w:firstLine="24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能源目标\</w:t>
            </w:r>
            <w:r>
              <w:rPr>
                <w:rFonts w:hint="eastAsia" w:ascii="宋体" w:hAnsi="宋体"/>
                <w:szCs w:val="21"/>
              </w:rPr>
              <w:t>能源指及其实现的策划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En6.2</w:t>
            </w:r>
          </w:p>
        </w:tc>
        <w:tc>
          <w:tcPr>
            <w:tcW w:w="10781" w:type="dxa"/>
          </w:tcPr>
          <w:p>
            <w:pPr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技术部没有制定本部门的能源目标，执行公司统一的能源目标。</w:t>
            </w:r>
          </w:p>
        </w:tc>
        <w:tc>
          <w:tcPr>
            <w:tcW w:w="808" w:type="dxa"/>
          </w:tcPr>
          <w:p/>
          <w:p>
            <w:pPr>
              <w:pStyle w:val="9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与客户的沟通，纠正及整改、运行控制和设计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En7.4/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8.1/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8.2/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10.1</w:t>
            </w:r>
          </w:p>
        </w:tc>
        <w:tc>
          <w:tcPr>
            <w:tcW w:w="10781" w:type="dxa"/>
          </w:tcPr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抽查生产技术科的研发资料：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1、基于人工智能铲运机无线遥控的研究与应用；</w:t>
            </w: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时间：二○一九年十一月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2、露天转地下金属矿山安全、高效、绿色开采综合技术研究与应用；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时间：二零一七年七月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3、石人沟铁矿地下采矿关键工序自动化及无人值守改造与示范。</w:t>
            </w: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时间：2020年12月</w:t>
            </w: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上述三个设计开发项目都已经实施应用，效果良好。  </w:t>
            </w:r>
          </w:p>
          <w:p>
            <w:pPr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</w:t>
            </w:r>
          </w:p>
        </w:tc>
        <w:tc>
          <w:tcPr>
            <w:tcW w:w="808" w:type="dxa"/>
          </w:tcPr>
          <w:p/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ind w:left="0" w:leftChars="0" w:firstLine="0" w:firstLineChars="0"/>
            </w:pPr>
          </w:p>
          <w:p>
            <w:pPr>
              <w:pStyle w:val="9"/>
            </w:pPr>
          </w:p>
          <w:p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pPr>
        <w:pStyle w:val="6"/>
      </w:pPr>
    </w:p>
    <w:p>
      <w:pPr>
        <w:pStyle w:val="6"/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7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7"/>
        <w:rFonts w:hint="default"/>
      </w:rPr>
      <w:t>北京国标联合认证有限公司</w:t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  <w:r>
      <w:rPr>
        <w:rStyle w:val="17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7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8C1E2"/>
    <w:multiLevelType w:val="singleLevel"/>
    <w:tmpl w:val="8CF8C1E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FCE0DA"/>
    <w:multiLevelType w:val="singleLevel"/>
    <w:tmpl w:val="05FCE0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FC91163"/>
    <w:multiLevelType w:val="multilevel"/>
    <w:tmpl w:val="1FC91163"/>
    <w:lvl w:ilvl="0" w:tentative="0">
      <w:start w:val="1"/>
      <w:numFmt w:val="japaneseCounting"/>
      <w:pStyle w:val="18"/>
      <w:suff w:val="nothing"/>
      <w:lvlText w:val="%1、"/>
      <w:lvlJc w:val="left"/>
      <w:pPr>
        <w:ind w:left="0" w:firstLine="0"/>
      </w:pPr>
      <w:rPr>
        <w:rFonts w:ascii="宋体" w:hAnsi="宋体" w:eastAsia="宋体" w:cs="Times New Roman"/>
        <w:b w:val="0"/>
        <w:i w:val="0"/>
        <w:sz w:val="28"/>
        <w:szCs w:val="28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3">
    <w:nsid w:val="387C4961"/>
    <w:multiLevelType w:val="singleLevel"/>
    <w:tmpl w:val="387C496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108219C2"/>
    <w:rsid w:val="18B0348F"/>
    <w:rsid w:val="1D5C5E94"/>
    <w:rsid w:val="1E0537DC"/>
    <w:rsid w:val="1E92443A"/>
    <w:rsid w:val="1F303612"/>
    <w:rsid w:val="203A7DFA"/>
    <w:rsid w:val="25726879"/>
    <w:rsid w:val="265042EE"/>
    <w:rsid w:val="29550A82"/>
    <w:rsid w:val="2ADD033E"/>
    <w:rsid w:val="2CC56303"/>
    <w:rsid w:val="37022033"/>
    <w:rsid w:val="3FD87230"/>
    <w:rsid w:val="400168D5"/>
    <w:rsid w:val="41BE4BFD"/>
    <w:rsid w:val="42FA3EBB"/>
    <w:rsid w:val="49907112"/>
    <w:rsid w:val="4EB06CE3"/>
    <w:rsid w:val="5062731F"/>
    <w:rsid w:val="51B355DC"/>
    <w:rsid w:val="51CB0431"/>
    <w:rsid w:val="52407F77"/>
    <w:rsid w:val="56955064"/>
    <w:rsid w:val="56ED7099"/>
    <w:rsid w:val="58F45158"/>
    <w:rsid w:val="5AEB2456"/>
    <w:rsid w:val="5EA12B9A"/>
    <w:rsid w:val="60A703C5"/>
    <w:rsid w:val="619A01E9"/>
    <w:rsid w:val="6A997D30"/>
    <w:rsid w:val="6B317C7C"/>
    <w:rsid w:val="6C3312C7"/>
    <w:rsid w:val="72F0497F"/>
    <w:rsid w:val="75532C29"/>
    <w:rsid w:val="788C0C63"/>
    <w:rsid w:val="7AEC0F33"/>
    <w:rsid w:val="7CDA12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b/>
      <w:sz w:val="28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Body Text First Indent"/>
    <w:basedOn w:val="2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8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g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emf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emf"/><Relationship Id="rId16" Type="http://schemas.openxmlformats.org/officeDocument/2006/relationships/image" Target="media/image12.emf"/><Relationship Id="rId15" Type="http://schemas.openxmlformats.org/officeDocument/2006/relationships/image" Target="media/image11.emf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2021-08-17T04:18:56Z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A2A87B4AA3C04090A0C757B97B7400CA</vt:lpwstr>
  </property>
</Properties>
</file>