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76"/>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jc w:val="center"/>
              <w:rPr>
                <w:sz w:val="24"/>
                <w:szCs w:val="24"/>
              </w:rPr>
            </w:pPr>
            <w:r>
              <w:rPr>
                <w:rFonts w:hint="eastAsia"/>
                <w:sz w:val="24"/>
                <w:szCs w:val="24"/>
              </w:rPr>
              <w:t>涉及</w:t>
            </w:r>
          </w:p>
          <w:p>
            <w:pPr>
              <w:jc w:val="center"/>
            </w:pPr>
            <w:r>
              <w:rPr>
                <w:rFonts w:hint="eastAsia"/>
                <w:sz w:val="24"/>
                <w:szCs w:val="24"/>
              </w:rPr>
              <w:t>条款</w:t>
            </w:r>
          </w:p>
        </w:tc>
        <w:tc>
          <w:tcPr>
            <w:tcW w:w="10376"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管理层</w:t>
            </w:r>
            <w:r>
              <w:rPr>
                <w:sz w:val="24"/>
                <w:szCs w:val="24"/>
              </w:rPr>
              <w:t xml:space="preserve">    </w:t>
            </w:r>
            <w:r>
              <w:rPr>
                <w:rFonts w:hint="eastAsia"/>
                <w:sz w:val="24"/>
                <w:szCs w:val="24"/>
              </w:rPr>
              <w:t>主管领导：</w:t>
            </w:r>
            <w:r>
              <w:rPr>
                <w:rFonts w:hint="eastAsia"/>
                <w:sz w:val="24"/>
                <w:szCs w:val="24"/>
                <w:lang w:val="en-US" w:eastAsia="zh-CN"/>
              </w:rPr>
              <w:t>李成合</w:t>
            </w:r>
            <w:r>
              <w:rPr>
                <w:sz w:val="24"/>
                <w:szCs w:val="24"/>
              </w:rPr>
              <w:t xml:space="preserve">        </w:t>
            </w:r>
            <w:r>
              <w:rPr>
                <w:rFonts w:hint="eastAsia"/>
                <w:sz w:val="24"/>
                <w:szCs w:val="24"/>
              </w:rPr>
              <w:t>陪同人员：</w:t>
            </w:r>
            <w:r>
              <w:rPr>
                <w:rFonts w:hint="eastAsia"/>
                <w:sz w:val="24"/>
                <w:szCs w:val="24"/>
                <w:lang w:val="en-US" w:eastAsia="zh-CN"/>
              </w:rPr>
              <w:t xml:space="preserve"> 李春元</w:t>
            </w:r>
          </w:p>
        </w:tc>
        <w:tc>
          <w:tcPr>
            <w:tcW w:w="1213" w:type="dxa"/>
            <w:vMerge w:val="restart"/>
            <w:vAlign w:val="center"/>
          </w:tcPr>
          <w:p>
            <w:pPr>
              <w:jc w:val="cente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76"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eastAsia="宋体"/>
                <w:lang w:val="en-US" w:eastAsia="zh-CN"/>
              </w:rPr>
            </w:pPr>
            <w:r>
              <w:rPr>
                <w:rFonts w:hint="eastAsia"/>
                <w:sz w:val="24"/>
                <w:szCs w:val="24"/>
              </w:rPr>
              <w:t>审核员：</w:t>
            </w:r>
            <w:r>
              <w:rPr>
                <w:rFonts w:hint="eastAsia"/>
                <w:sz w:val="24"/>
                <w:szCs w:val="24"/>
                <w:lang w:val="en-US" w:eastAsia="zh-CN"/>
              </w:rPr>
              <w:t>王宁敏</w:t>
            </w:r>
            <w:r>
              <w:rPr>
                <w:sz w:val="24"/>
                <w:szCs w:val="24"/>
              </w:rPr>
              <w:t xml:space="preserve">       </w:t>
            </w:r>
            <w:r>
              <w:rPr>
                <w:rFonts w:hint="eastAsia"/>
                <w:sz w:val="24"/>
                <w:szCs w:val="24"/>
              </w:rPr>
              <w:t>审核时间：</w:t>
            </w:r>
            <w:r>
              <w:rPr>
                <w:rFonts w:hint="eastAsia"/>
                <w:sz w:val="24"/>
                <w:szCs w:val="24"/>
                <w:lang w:val="en-US" w:eastAsia="zh-CN"/>
              </w:rPr>
              <w:t>2021-08-09  08：30-17：30（其中12:00-13:00午餐）</w:t>
            </w:r>
          </w:p>
        </w:tc>
        <w:tc>
          <w:tcPr>
            <w:tcW w:w="121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76" w:type="dxa"/>
            <w:vAlign w:val="center"/>
          </w:tcPr>
          <w:p>
            <w:pPr>
              <w:rPr>
                <w:sz w:val="24"/>
                <w:szCs w:val="24"/>
              </w:rPr>
            </w:pPr>
            <w:r>
              <w:rPr>
                <w:rFonts w:hint="eastAsia"/>
                <w:sz w:val="24"/>
                <w:szCs w:val="24"/>
              </w:rPr>
              <w:t>审核条款：</w:t>
            </w:r>
            <w:r>
              <w:rPr>
                <w:rFonts w:hint="eastAsia" w:ascii="宋体" w:hAnsi="宋体" w:eastAsia="宋体" w:cs="Times New Roman"/>
                <w:sz w:val="21"/>
                <w:szCs w:val="21"/>
                <w:lang w:val="en-US" w:eastAsia="zh-CN"/>
              </w:rPr>
              <w:t xml:space="preserve"> 4.1 理解组织及其所处的环境、4.2理解相关方的需求和期望、4.3 确定能源管理体系的范围、4.4 能源管理体系、5.1 领导作用和承诺、5.2 能源方针、5.3 组织的岗位、职责和权限、6.1 应对风险和机遇的措施、7.1 资源、9.3 管理评审、10.2 持续改进。</w:t>
            </w:r>
          </w:p>
        </w:tc>
        <w:tc>
          <w:tcPr>
            <w:tcW w:w="121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Times New Roman" w:hAnsi="Times New Roman" w:cs="Times New Roman"/>
                <w:szCs w:val="22"/>
                <w:lang w:val="en-US" w:eastAsia="zh-CN"/>
              </w:rPr>
              <w:t>了解公司基本情况</w:t>
            </w:r>
          </w:p>
        </w:tc>
        <w:tc>
          <w:tcPr>
            <w:tcW w:w="960" w:type="dxa"/>
          </w:tcPr>
          <w:p/>
        </w:tc>
        <w:tc>
          <w:tcPr>
            <w:tcW w:w="10376" w:type="dxa"/>
          </w:tcPr>
          <w:p>
            <w:pPr>
              <w:ind w:firstLine="420" w:firstLineChars="200"/>
              <w:rPr>
                <w:rFonts w:hint="eastAsia"/>
                <w:lang w:val="en-US" w:eastAsia="zh-CN"/>
              </w:rPr>
            </w:pPr>
            <w:r>
              <w:rPr>
                <w:rFonts w:hint="eastAsia"/>
                <w:lang w:val="en-US" w:eastAsia="zh-CN"/>
              </w:rPr>
              <w:t>石人沟铁矿位于河北省遵化市兴旺寨乡，1970年由唐钢筹建，1975年7月投产，属采选联合矿山企业，露天采选设计能力150万吨/年；1975年划归唐山冶金矿山建设指挥部；1979年11月归属河北省冶金厅；1986年1月又划归唐钢；2008年6月，河北钢铁集团成立，9月石人沟铁矿归属河钢集团全资子公司河钢集团矿业有限公司。2008年11月，原唐钢矿业有限公司魏家井白云石矿划归石人沟铁矿，由石人沟铁矿作为二级单位管理。左家坞联营石灰石矿由石人沟铁矿代管。新矿业成立以来，石人沟铁矿通过资源整合、扩产技改、对标挖潜、技术创新、精细管理等手段，快速走上了科学跨越、绿色可持续发展之路，成功建设了河北省首家充填站并实现全尾砂胶结连续充填，填补了全省冶金矿山此项工艺的空白。</w:t>
            </w:r>
          </w:p>
          <w:p>
            <w:pPr>
              <w:ind w:firstLine="420" w:firstLineChars="200"/>
              <w:rPr>
                <w:rFonts w:hint="eastAsia"/>
                <w:lang w:val="en-US" w:eastAsia="zh-CN"/>
              </w:rPr>
            </w:pPr>
            <w:r>
              <w:rPr>
                <w:rFonts w:hint="eastAsia"/>
                <w:lang w:val="en-US" w:eastAsia="zh-CN"/>
              </w:rPr>
              <w:t>营业执照注册地址：遵化市兴旺寨乡野瓠山村；采矿许可证地址：河北省唐山市遵化市；</w:t>
            </w:r>
          </w:p>
          <w:p>
            <w:pPr>
              <w:ind w:firstLine="420" w:firstLineChars="200"/>
              <w:rPr>
                <w:rFonts w:hint="eastAsia"/>
                <w:lang w:val="en-US" w:eastAsia="zh-CN"/>
              </w:rPr>
            </w:pPr>
            <w:r>
              <w:rPr>
                <w:rFonts w:hint="eastAsia"/>
                <w:lang w:val="en-US" w:eastAsia="zh-CN"/>
              </w:rPr>
              <w:t>经营地址：遵化市兴旺寨乡野瓠山村，与生产或服务现场一致。</w:t>
            </w:r>
          </w:p>
          <w:p>
            <w:pPr>
              <w:ind w:firstLine="420" w:firstLineChars="200"/>
              <w:rPr>
                <w:rFonts w:hint="eastAsia"/>
                <w:lang w:val="en-US" w:eastAsia="zh-CN"/>
              </w:rPr>
            </w:pPr>
            <w:r>
              <w:rPr>
                <w:rFonts w:hint="eastAsia"/>
                <w:lang w:val="en-US" w:eastAsia="zh-CN"/>
              </w:rPr>
              <w:t>能源管理体系覆盖的人数总计850</w:t>
            </w:r>
            <w:bookmarkStart w:id="1" w:name="_GoBack"/>
            <w:bookmarkEnd w:id="1"/>
            <w:r>
              <w:rPr>
                <w:rFonts w:hint="eastAsia"/>
                <w:lang w:val="en-US" w:eastAsia="zh-CN"/>
              </w:rPr>
              <w:t>人。</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hint="eastAsia" w:ascii="宋体" w:hAnsi="宋体" w:cs="Times New Roman"/>
                <w:sz w:val="21"/>
                <w:szCs w:val="21"/>
                <w:lang w:val="en-US" w:eastAsia="zh-CN"/>
              </w:rPr>
            </w:pPr>
            <w:r>
              <w:rPr>
                <w:rFonts w:hint="eastAsia" w:ascii="宋体" w:hAnsi="宋体" w:eastAsia="宋体" w:cs="Times New Roman"/>
                <w:sz w:val="21"/>
                <w:szCs w:val="21"/>
                <w:lang w:val="en-US" w:eastAsia="zh-CN"/>
              </w:rPr>
              <w:t>理解组织及其所处的环境</w:t>
            </w:r>
            <w:r>
              <w:rPr>
                <w:rFonts w:hint="eastAsia" w:ascii="宋体" w:hAnsi="宋体" w:cs="Times New Roman"/>
                <w:sz w:val="21"/>
                <w:szCs w:val="21"/>
                <w:lang w:val="en-US" w:eastAsia="zh-CN"/>
              </w:rPr>
              <w:t>，</w:t>
            </w:r>
          </w:p>
          <w:p>
            <w:pPr>
              <w:rPr>
                <w:rFonts w:hint="default"/>
                <w:lang w:val="en-US"/>
              </w:rPr>
            </w:pPr>
            <w:r>
              <w:rPr>
                <w:rFonts w:hint="eastAsia" w:ascii="宋体" w:hAnsi="宋体" w:eastAsia="宋体" w:cs="Times New Roman"/>
                <w:sz w:val="21"/>
                <w:szCs w:val="21"/>
                <w:lang w:val="en-US" w:eastAsia="zh-CN"/>
              </w:rPr>
              <w:t>理解相关方的需求和期望</w:t>
            </w:r>
          </w:p>
        </w:tc>
        <w:tc>
          <w:tcPr>
            <w:tcW w:w="960" w:type="dxa"/>
          </w:tcPr>
          <w:p>
            <w:pPr>
              <w:rPr>
                <w:rFonts w:hint="default"/>
                <w:lang w:val="en-US"/>
              </w:rPr>
            </w:pPr>
            <w:r>
              <w:rPr>
                <w:rFonts w:hint="eastAsia" w:ascii="宋体" w:hAnsi="宋体" w:cs="Times New Roman"/>
                <w:sz w:val="21"/>
                <w:szCs w:val="21"/>
                <w:lang w:val="en-US" w:eastAsia="zh-CN"/>
              </w:rPr>
              <w:t>4</w:t>
            </w:r>
            <w:r>
              <w:rPr>
                <w:rFonts w:hint="eastAsia" w:ascii="宋体" w:hAnsi="宋体" w:eastAsia="宋体" w:cs="Times New Roman"/>
                <w:sz w:val="21"/>
                <w:szCs w:val="21"/>
                <w:lang w:val="en-US" w:eastAsia="zh-CN"/>
              </w:rPr>
              <w:t>.1</w:t>
            </w:r>
            <w:r>
              <w:rPr>
                <w:rFonts w:hint="eastAsia" w:ascii="宋体" w:hAnsi="宋体" w:cs="Times New Roman"/>
                <w:sz w:val="21"/>
                <w:szCs w:val="21"/>
                <w:lang w:val="en-US" w:eastAsia="zh-CN"/>
              </w:rPr>
              <w:t>/4.2</w:t>
            </w:r>
          </w:p>
        </w:tc>
        <w:tc>
          <w:tcPr>
            <w:tcW w:w="10376" w:type="dxa"/>
          </w:tcPr>
          <w:p>
            <w:pPr>
              <w:ind w:firstLine="420" w:firstLineChars="200"/>
              <w:jc w:val="left"/>
              <w:rPr>
                <w:rFonts w:hint="default"/>
                <w:lang w:val="en-US" w:eastAsia="zh-CN"/>
              </w:rPr>
            </w:pPr>
            <w:r>
              <w:rPr>
                <w:rFonts w:hint="default"/>
                <w:lang w:val="en-US" w:eastAsia="zh-CN"/>
              </w:rPr>
              <w:t>公司领导层结合公司的实际情况，充分识别外部、内部环境，以策划公司的能源管理活动，建立管理体系，改进能源绩效，以达到预期的目的。</w:t>
            </w:r>
          </w:p>
          <w:p>
            <w:pPr>
              <w:ind w:firstLine="420" w:firstLineChars="200"/>
              <w:jc w:val="left"/>
              <w:rPr>
                <w:rFonts w:hint="default"/>
                <w:lang w:val="en-US" w:eastAsia="zh-CN"/>
              </w:rPr>
            </w:pPr>
            <w:r>
              <w:rPr>
                <w:rFonts w:hint="default"/>
                <w:lang w:val="en-US" w:eastAsia="zh-CN"/>
              </w:rPr>
              <w:t>公司制订发展规划，分析确定与公司发展战略方向相关并影响实现预期结果的各种内部和外部因素，认为外因主要是：国家及当地政策；行业技术水平；法律法规；能源供应，安全性、可靠性； 相关方；竞争对手等；</w:t>
            </w:r>
          </w:p>
          <w:p>
            <w:pPr>
              <w:ind w:firstLine="420" w:firstLineChars="200"/>
              <w:jc w:val="left"/>
              <w:rPr>
                <w:rFonts w:hint="default"/>
                <w:lang w:val="en-US" w:eastAsia="zh-CN"/>
              </w:rPr>
            </w:pPr>
            <w:r>
              <w:rPr>
                <w:rFonts w:hint="default"/>
                <w:lang w:val="en-US" w:eastAsia="zh-CN"/>
              </w:rPr>
              <w:t xml:space="preserve">内因主要是：核心业务目标和战略； 企业的财力资源（人力、财力等）；通过分析，公司制订出一系列的对策，对其进行有效的控制。 </w:t>
            </w:r>
          </w:p>
          <w:p>
            <w:pPr>
              <w:ind w:firstLine="420" w:firstLineChars="200"/>
              <w:jc w:val="left"/>
              <w:rPr>
                <w:rFonts w:hint="eastAsia" w:eastAsia="宋体"/>
                <w:lang w:val="en-US" w:eastAsia="zh-CN"/>
              </w:rPr>
            </w:pPr>
            <w:r>
              <w:rPr>
                <w:rFonts w:hint="default"/>
                <w:lang w:val="en-US" w:eastAsia="zh-CN"/>
              </w:rPr>
              <w:t>公司还确定了与能源绩效和能源管理体系有关的相关方，识别相关方的有关需求和期望，制订出双方共赢的发展方案。</w:t>
            </w:r>
            <w:r>
              <w:rPr>
                <w:rFonts w:hint="eastAsia"/>
                <w:lang w:val="en-US" w:eastAsia="zh-CN"/>
              </w:rPr>
              <w:t>公司的相关方有：政府主管部门、上级单位、股东、</w:t>
            </w:r>
            <w:r>
              <w:rPr>
                <w:rFonts w:hint="eastAsia"/>
                <w:kern w:val="0"/>
                <w:szCs w:val="21"/>
              </w:rPr>
              <w:t>外部供应商</w:t>
            </w:r>
            <w:r>
              <w:rPr>
                <w:rFonts w:hint="eastAsia"/>
                <w:kern w:val="0"/>
                <w:szCs w:val="21"/>
                <w:lang w:eastAsia="zh-CN"/>
              </w:rPr>
              <w:t>、</w:t>
            </w:r>
            <w:r>
              <w:rPr>
                <w:rFonts w:hint="eastAsia"/>
                <w:kern w:val="0"/>
                <w:szCs w:val="21"/>
              </w:rPr>
              <w:t>为组织贷款的银行</w:t>
            </w:r>
            <w:r>
              <w:rPr>
                <w:rFonts w:hint="eastAsia"/>
                <w:kern w:val="0"/>
                <w:szCs w:val="21"/>
                <w:lang w:val="en-US" w:eastAsia="zh-CN"/>
              </w:rPr>
              <w:t>等。</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tcPr>
          <w:p>
            <w:r>
              <w:rPr>
                <w:rFonts w:hint="eastAsia" w:ascii="宋体" w:hAnsi="宋体" w:eastAsia="宋体" w:cs="Times New Roman"/>
                <w:sz w:val="21"/>
                <w:szCs w:val="21"/>
                <w:lang w:val="en-US" w:eastAsia="zh-CN"/>
              </w:rPr>
              <w:t>确定能源管理体系的范围</w:t>
            </w:r>
          </w:p>
        </w:tc>
        <w:tc>
          <w:tcPr>
            <w:tcW w:w="960" w:type="dxa"/>
          </w:tcPr>
          <w:p>
            <w:pPr>
              <w:rPr>
                <w:rFonts w:hint="eastAsia" w:eastAsia="宋体"/>
                <w:lang w:eastAsia="zh-CN"/>
              </w:rPr>
            </w:pPr>
            <w:r>
              <w:rPr>
                <w:rFonts w:hint="eastAsia" w:ascii="宋体" w:hAnsi="宋体" w:cs="Times New Roman"/>
                <w:sz w:val="21"/>
                <w:szCs w:val="21"/>
                <w:lang w:val="en-US" w:eastAsia="zh-CN"/>
              </w:rPr>
              <w:t>4</w:t>
            </w:r>
            <w:r>
              <w:rPr>
                <w:rFonts w:hint="eastAsia" w:ascii="宋体" w:hAnsi="宋体" w:eastAsia="宋体" w:cs="Times New Roman"/>
                <w:sz w:val="21"/>
                <w:szCs w:val="21"/>
              </w:rPr>
              <w:t>.</w:t>
            </w:r>
            <w:r>
              <w:rPr>
                <w:rFonts w:hint="eastAsia" w:ascii="宋体" w:hAnsi="宋体" w:cs="Times New Roman"/>
                <w:sz w:val="21"/>
                <w:szCs w:val="21"/>
                <w:lang w:val="en-US" w:eastAsia="zh-CN"/>
              </w:rPr>
              <w:t>3</w:t>
            </w:r>
          </w:p>
        </w:tc>
        <w:tc>
          <w:tcPr>
            <w:tcW w:w="10376" w:type="dxa"/>
          </w:tcPr>
          <w:p>
            <w:pPr>
              <w:ind w:firstLine="420" w:firstLineChars="200"/>
              <w:rPr>
                <w:rFonts w:hint="eastAsia"/>
                <w:sz w:val="20"/>
                <w:lang w:eastAsia="zh-CN"/>
              </w:rPr>
            </w:pPr>
            <w:r>
              <w:rPr>
                <w:rFonts w:hint="eastAsia"/>
                <w:lang w:val="en-US" w:eastAsia="zh-CN"/>
              </w:rPr>
              <w:t>公司能源管理体系的边界和范围：</w:t>
            </w:r>
            <w:bookmarkStart w:id="0" w:name="审核范围"/>
            <w:r>
              <w:rPr>
                <w:sz w:val="20"/>
              </w:rPr>
              <w:t>铁矿石地下开采所涉及的相关能源管理活动</w:t>
            </w:r>
            <w:bookmarkEnd w:id="0"/>
            <w:r>
              <w:rPr>
                <w:rFonts w:hint="eastAsia"/>
                <w:sz w:val="20"/>
                <w:lang w:eastAsia="zh-CN"/>
              </w:rPr>
              <w:t>。</w:t>
            </w:r>
          </w:p>
          <w:p>
            <w:pPr>
              <w:ind w:firstLine="400" w:firstLineChars="200"/>
              <w:rPr>
                <w:rFonts w:hint="default" w:eastAsia="宋体"/>
                <w:lang w:val="en-US" w:eastAsia="zh-CN"/>
              </w:rPr>
            </w:pPr>
            <w:r>
              <w:rPr>
                <w:rFonts w:hint="eastAsia"/>
                <w:sz w:val="20"/>
                <w:lang w:val="en-US" w:eastAsia="zh-CN"/>
              </w:rPr>
              <w:t>核算边界：位于河北省唐山市遵化市</w:t>
            </w:r>
            <w:r>
              <w:rPr>
                <w:rFonts w:hint="eastAsia"/>
                <w:lang w:val="en-US" w:eastAsia="zh-CN"/>
              </w:rPr>
              <w:t>兴旺寨乡野瓠山村</w:t>
            </w:r>
            <w:r>
              <w:rPr>
                <w:rFonts w:hint="eastAsia"/>
                <w:sz w:val="20"/>
                <w:lang w:val="en-US" w:eastAsia="zh-CN"/>
              </w:rPr>
              <w:t>，该活动涵盖了能源购入、转换、输送、使用所涉及的生产活动全过程。</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能源管理体系的建立与策划</w:t>
            </w:r>
          </w:p>
        </w:tc>
        <w:tc>
          <w:tcPr>
            <w:tcW w:w="960" w:type="dxa"/>
          </w:tcPr>
          <w:p>
            <w:pPr>
              <w:rPr>
                <w:rFonts w:hint="default" w:ascii="宋体" w:hAnsi="宋体" w:cs="Times New Roman"/>
                <w:sz w:val="21"/>
                <w:szCs w:val="21"/>
                <w:lang w:val="en-US" w:eastAsia="zh-CN"/>
              </w:rPr>
            </w:pPr>
            <w:r>
              <w:rPr>
                <w:rFonts w:hint="eastAsia" w:ascii="宋体" w:hAnsi="宋体" w:cs="Times New Roman"/>
                <w:sz w:val="21"/>
                <w:szCs w:val="21"/>
                <w:lang w:val="en-US" w:eastAsia="zh-CN"/>
              </w:rPr>
              <w:t>4.4</w:t>
            </w:r>
          </w:p>
        </w:tc>
        <w:tc>
          <w:tcPr>
            <w:tcW w:w="10376" w:type="dxa"/>
          </w:tcPr>
          <w:p>
            <w:pPr>
              <w:ind w:firstLine="400" w:firstLineChars="200"/>
              <w:rPr>
                <w:rFonts w:hint="eastAsia"/>
                <w:sz w:val="20"/>
                <w:lang w:val="en-US" w:eastAsia="zh-CN"/>
              </w:rPr>
            </w:pPr>
            <w:r>
              <w:rPr>
                <w:rFonts w:hint="eastAsia"/>
                <w:sz w:val="20"/>
                <w:lang w:val="en-US" w:eastAsia="zh-CN"/>
              </w:rPr>
              <w:t>公司总经理李成合重视节能降耗工作，任命副总经理</w:t>
            </w:r>
            <w:r>
              <w:rPr>
                <w:rFonts w:hint="eastAsia"/>
                <w:b/>
                <w:bCs/>
                <w:sz w:val="20"/>
                <w:lang w:val="en-US" w:eastAsia="zh-CN"/>
              </w:rPr>
              <w:t>温占军</w:t>
            </w:r>
            <w:r>
              <w:rPr>
                <w:rFonts w:hint="eastAsia"/>
                <w:sz w:val="20"/>
                <w:lang w:val="en-US" w:eastAsia="zh-CN"/>
              </w:rPr>
              <w:t>为能源体系管理者代表，具体负责能源管理工作。为了系统高效地开展节约能源工作，使公司原有的节能管理更加系统化、规范化、标准化，公司根据GB/T 23332-2020 idt ISO 50001:2018标准及国家相关法律法规，充分结合本公司能源管理的实际情况，建立能源管理体系，并编写“能源管理手册”及相应的能源控制文件，通过全面系统的策划、实施、检查和改进，对能源管理的全过程进行系统的科学监控，有效控制能源消耗并最终实现提高能源利用效率、降低能源消耗的目的。能源管理体系自2021年1月1日正式实施运行以来，至今已取得较好的能源绩效 。</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21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领导作用和承诺</w:t>
            </w:r>
          </w:p>
        </w:tc>
        <w:tc>
          <w:tcPr>
            <w:tcW w:w="960" w:type="dxa"/>
          </w:tcPr>
          <w:p>
            <w:pPr>
              <w:rPr>
                <w:rFonts w:hint="eastAsia" w:ascii="宋体" w:hAnsi="宋体" w:cs="Times New Roman"/>
                <w:sz w:val="21"/>
                <w:szCs w:val="21"/>
                <w:lang w:val="en-US" w:eastAsia="zh-CN"/>
              </w:rPr>
            </w:pPr>
            <w:r>
              <w:rPr>
                <w:rFonts w:hint="eastAsia" w:ascii="宋体" w:hAnsi="宋体" w:eastAsia="宋体" w:cs="Times New Roman"/>
                <w:sz w:val="21"/>
                <w:szCs w:val="21"/>
                <w:lang w:val="en-US" w:eastAsia="zh-CN"/>
              </w:rPr>
              <w:t xml:space="preserve">5.1 </w:t>
            </w:r>
          </w:p>
        </w:tc>
        <w:tc>
          <w:tcPr>
            <w:tcW w:w="10376" w:type="dxa"/>
          </w:tcPr>
          <w:p>
            <w:pPr>
              <w:ind w:firstLine="400" w:firstLineChars="200"/>
              <w:rPr>
                <w:rFonts w:hint="eastAsia"/>
                <w:sz w:val="20"/>
                <w:lang w:val="en-US" w:eastAsia="zh-CN"/>
              </w:rPr>
            </w:pPr>
            <w:r>
              <w:rPr>
                <w:rFonts w:hint="eastAsia"/>
                <w:sz w:val="20"/>
                <w:lang w:val="en-US" w:eastAsia="zh-CN"/>
              </w:rPr>
              <w:t>公司总经理（最高管理者）在《能源管理手册》中承诺支持能源管理体系，并持续改进能源管理体系的有效性，通过贯彻落实国家及政府各项能源法规和政策、组建能源管理团队、建立能源方针、目标和能源指标、确保提供能源管理体系所需的资源、确保能源管理措施计划得以批准和实施、促进能源绩效和能源管理体系的持续改进、指导并支持员工为能源管理体系的有效性和能源绩效改进做出贡献等活动得以落实，均符合标准的要求。</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能源方针</w:t>
            </w:r>
          </w:p>
        </w:tc>
        <w:tc>
          <w:tcPr>
            <w:tcW w:w="9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5.2 </w:t>
            </w:r>
          </w:p>
        </w:tc>
        <w:tc>
          <w:tcPr>
            <w:tcW w:w="10376" w:type="dxa"/>
          </w:tcPr>
          <w:p>
            <w:pPr>
              <w:ind w:firstLine="400" w:firstLineChars="200"/>
              <w:rPr>
                <w:rFonts w:hint="eastAsia"/>
                <w:sz w:val="20"/>
                <w:lang w:val="en-US" w:eastAsia="zh-CN"/>
              </w:rPr>
            </w:pPr>
            <w:r>
              <w:rPr>
                <w:rFonts w:hint="eastAsia"/>
                <w:sz w:val="20"/>
                <w:lang w:val="en-US" w:eastAsia="zh-CN"/>
              </w:rPr>
              <w:t xml:space="preserve">公司能源管理方针： </w:t>
            </w:r>
          </w:p>
          <w:p>
            <w:pPr>
              <w:ind w:firstLine="402" w:firstLineChars="200"/>
              <w:rPr>
                <w:rFonts w:hint="eastAsia"/>
                <w:b/>
                <w:bCs/>
                <w:sz w:val="20"/>
                <w:lang w:val="en-US" w:eastAsia="zh-CN"/>
              </w:rPr>
            </w:pPr>
            <w:r>
              <w:rPr>
                <w:rFonts w:hint="eastAsia"/>
                <w:b/>
                <w:bCs/>
                <w:sz w:val="20"/>
                <w:lang w:val="en-US" w:eastAsia="zh-CN"/>
              </w:rPr>
              <w:t>建体系、守法规、全员参与，加强节能管理；</w:t>
            </w:r>
          </w:p>
          <w:p>
            <w:pPr>
              <w:ind w:firstLine="402" w:firstLineChars="200"/>
              <w:rPr>
                <w:rFonts w:hint="eastAsia"/>
                <w:sz w:val="20"/>
                <w:lang w:val="en-US" w:eastAsia="zh-CN"/>
              </w:rPr>
            </w:pPr>
            <w:r>
              <w:rPr>
                <w:rFonts w:hint="eastAsia"/>
                <w:b/>
                <w:bCs/>
                <w:sz w:val="20"/>
                <w:lang w:val="en-US" w:eastAsia="zh-CN"/>
              </w:rPr>
              <w:t>调整产业结构，推广节能技术，促进能源利用高效化、清洁化方向发展。</w:t>
            </w:r>
          </w:p>
          <w:p>
            <w:pPr>
              <w:ind w:firstLine="400" w:firstLineChars="200"/>
              <w:rPr>
                <w:rFonts w:hint="default"/>
                <w:sz w:val="20"/>
                <w:lang w:val="en-US" w:eastAsia="zh-CN"/>
              </w:rPr>
            </w:pPr>
            <w:r>
              <w:rPr>
                <w:rFonts w:hint="eastAsia"/>
                <w:sz w:val="20"/>
                <w:lang w:val="en-US" w:eastAsia="zh-CN"/>
              </w:rPr>
              <w:t>能源方针内容基本符合标准要求和企业实际。能源方针由总经理批准发布，以书面、电子媒介、宣传栏等方式，便于员工、顾客及其他相关方所获取，并且予以评审。</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1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组织的岗位、职责和权限</w:t>
            </w:r>
          </w:p>
        </w:tc>
        <w:tc>
          <w:tcPr>
            <w:tcW w:w="9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5.3 </w:t>
            </w:r>
          </w:p>
        </w:tc>
        <w:tc>
          <w:tcPr>
            <w:tcW w:w="10376" w:type="dxa"/>
          </w:tcPr>
          <w:p>
            <w:pPr>
              <w:ind w:firstLine="400" w:firstLineChars="200"/>
              <w:rPr>
                <w:rFonts w:hint="default"/>
                <w:sz w:val="20"/>
                <w:lang w:val="en-US" w:eastAsia="zh-CN"/>
              </w:rPr>
            </w:pPr>
            <w:r>
              <w:rPr>
                <w:rFonts w:hint="eastAsia"/>
                <w:sz w:val="20"/>
                <w:lang w:val="en-US" w:eastAsia="zh-CN"/>
              </w:rPr>
              <w:t>公司成立能源管理工作团队，</w:t>
            </w:r>
            <w:r>
              <w:rPr>
                <w:rFonts w:hint="eastAsia" w:ascii="宋体" w:hAnsi="宋体" w:cs="宋体"/>
                <w:szCs w:val="21"/>
              </w:rPr>
              <w:t>工作组组长：</w:t>
            </w:r>
            <w:r>
              <w:rPr>
                <w:rFonts w:hint="eastAsia"/>
                <w:sz w:val="20"/>
                <w:lang w:val="en-US" w:eastAsia="zh-CN"/>
              </w:rPr>
              <w:t>温占国;</w:t>
            </w:r>
          </w:p>
          <w:p>
            <w:pPr>
              <w:ind w:firstLine="400" w:firstLineChars="200"/>
              <w:rPr>
                <w:rFonts w:hint="eastAsia"/>
                <w:sz w:val="20"/>
                <w:lang w:val="en-US" w:eastAsia="zh-CN"/>
              </w:rPr>
            </w:pPr>
            <w:r>
              <w:rPr>
                <w:rFonts w:hint="eastAsia"/>
                <w:sz w:val="20"/>
                <w:lang w:val="en-US" w:eastAsia="zh-CN"/>
              </w:rPr>
              <w:t>工作组人员：李晓东（生产技术科）、温占军（设备保障中心）、张东（资产财务科）、崔建超（安全科）、杨继丰（综合办公室）、李鑫（人力资源科）、李春元（环保科）</w:t>
            </w:r>
          </w:p>
          <w:p>
            <w:pPr>
              <w:ind w:firstLine="400" w:firstLineChars="200"/>
              <w:rPr>
                <w:rFonts w:hint="eastAsia"/>
                <w:sz w:val="20"/>
                <w:lang w:val="en-US" w:eastAsia="zh-CN"/>
              </w:rPr>
            </w:pPr>
            <w:r>
              <w:rPr>
                <w:rFonts w:hint="eastAsia"/>
                <w:sz w:val="20"/>
                <w:lang w:val="en-US" w:eastAsia="zh-CN"/>
              </w:rPr>
              <w:t>工作组在管理者代表领导下：</w:t>
            </w:r>
          </w:p>
          <w:p>
            <w:pPr>
              <w:ind w:firstLine="400" w:firstLineChars="200"/>
              <w:rPr>
                <w:rFonts w:hint="eastAsia"/>
                <w:sz w:val="20"/>
                <w:lang w:val="en-US" w:eastAsia="zh-CN"/>
              </w:rPr>
            </w:pPr>
            <w:r>
              <w:rPr>
                <w:rFonts w:hint="eastAsia"/>
                <w:sz w:val="20"/>
                <w:lang w:val="en-US" w:eastAsia="zh-CN"/>
              </w:rPr>
              <w:t>a)全面负责能源管理体系的日常运行管理工作；</w:t>
            </w:r>
          </w:p>
          <w:p>
            <w:pPr>
              <w:ind w:firstLine="400" w:firstLineChars="200"/>
              <w:rPr>
                <w:rFonts w:hint="eastAsia"/>
                <w:sz w:val="20"/>
                <w:lang w:val="en-US" w:eastAsia="zh-CN"/>
              </w:rPr>
            </w:pPr>
            <w:r>
              <w:rPr>
                <w:rFonts w:hint="eastAsia"/>
                <w:sz w:val="20"/>
                <w:lang w:val="en-US" w:eastAsia="zh-CN"/>
              </w:rPr>
              <w:t>b)负责公司能源管理的运行监视测量、统计、分析工作，提出改进的建议、措施；</w:t>
            </w:r>
          </w:p>
          <w:p>
            <w:pPr>
              <w:ind w:firstLine="400" w:firstLineChars="200"/>
              <w:rPr>
                <w:rFonts w:hint="eastAsia"/>
                <w:sz w:val="20"/>
                <w:lang w:val="en-US" w:eastAsia="zh-CN"/>
              </w:rPr>
            </w:pPr>
            <w:r>
              <w:rPr>
                <w:rFonts w:hint="eastAsia"/>
                <w:sz w:val="20"/>
                <w:lang w:val="en-US" w:eastAsia="zh-CN"/>
              </w:rPr>
              <w:t>c)负责向管理评审活动提供能源管理体系的运行情况。</w:t>
            </w:r>
          </w:p>
          <w:p>
            <w:pPr>
              <w:ind w:firstLine="400" w:firstLineChars="200"/>
              <w:rPr>
                <w:rFonts w:hint="eastAsia"/>
                <w:sz w:val="20"/>
                <w:lang w:val="en-US" w:eastAsia="zh-CN"/>
              </w:rPr>
            </w:pPr>
            <w:r>
              <w:rPr>
                <w:rFonts w:hint="eastAsia"/>
                <w:sz w:val="20"/>
                <w:lang w:val="en-US" w:eastAsia="zh-CN"/>
              </w:rPr>
              <w:t>公司设有人力资源科、综合办公室、生产技术科</w:t>
            </w:r>
            <w:r>
              <w:rPr>
                <w:rFonts w:hint="eastAsia"/>
                <w:sz w:val="20"/>
                <w:lang w:val="en-US" w:eastAsia="zh-CN"/>
              </w:rPr>
              <w:tab/>
            </w:r>
            <w:r>
              <w:rPr>
                <w:rFonts w:hint="eastAsia"/>
                <w:sz w:val="20"/>
                <w:lang w:val="en-US" w:eastAsia="zh-CN"/>
              </w:rPr>
              <w:t>、设备保障中心、资产财务科、各作业区（含后勤作业区）等，从管理层到各部门、各岗位能源职责权限均以文件化予以规定（在《能源管理手册》5.3条款中予以规定），编审批齐全。</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应对风险和机遇的措施</w:t>
            </w:r>
          </w:p>
        </w:tc>
        <w:tc>
          <w:tcPr>
            <w:tcW w:w="9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6.1</w:t>
            </w:r>
          </w:p>
        </w:tc>
        <w:tc>
          <w:tcPr>
            <w:tcW w:w="10376" w:type="dxa"/>
          </w:tcPr>
          <w:p>
            <w:pPr>
              <w:ind w:firstLine="400" w:firstLineChars="200"/>
              <w:rPr>
                <w:rFonts w:hint="eastAsia"/>
                <w:sz w:val="20"/>
                <w:lang w:val="en-US" w:eastAsia="zh-CN"/>
              </w:rPr>
            </w:pPr>
            <w:r>
              <w:rPr>
                <w:rFonts w:hint="eastAsia"/>
                <w:sz w:val="20"/>
                <w:lang w:val="en-US" w:eastAsia="zh-CN"/>
              </w:rPr>
              <w:t>公司管理层有一定的风险意识，将风险和机遇作为高层战略决策的重要内容，特别在涉及公司发展和新材料、新技术引用以及节能技术改造投资上能够充分识别风险和机遇，预测潜在的问题及其后果，以便在发生不利影响之前采取预防措施。同样，可识别和追踪可能提供潜在优势或有益结果的有利考量或环境。</w:t>
            </w:r>
          </w:p>
          <w:p>
            <w:pPr>
              <w:ind w:firstLine="400" w:firstLineChars="200"/>
              <w:rPr>
                <w:rFonts w:hint="eastAsia"/>
                <w:sz w:val="20"/>
                <w:lang w:val="en-US" w:eastAsia="zh-CN"/>
              </w:rPr>
            </w:pPr>
            <w:r>
              <w:rPr>
                <w:rFonts w:hint="eastAsia"/>
                <w:sz w:val="20"/>
                <w:lang w:val="en-US" w:eastAsia="zh-CN"/>
              </w:rPr>
              <w:t>公司在策划能源管理体系时，应用风险思维的方法，考虑了组织内、外部环境和所有利益相关方的需求期望，并对影响能源绩效的活动和过程进行评审，识别、确定改进组织能源绩效、实现能源目标和指标的风险和机遇的措施，既关注提升正面效果创造机遇，又预防降低不良效应。</w:t>
            </w:r>
          </w:p>
          <w:p>
            <w:pPr>
              <w:ind w:firstLine="400" w:firstLineChars="200"/>
              <w:rPr>
                <w:rFonts w:hint="eastAsia"/>
                <w:sz w:val="20"/>
                <w:lang w:val="en-US" w:eastAsia="zh-CN"/>
              </w:rPr>
            </w:pPr>
            <w:r>
              <w:rPr>
                <w:rFonts w:hint="eastAsia"/>
                <w:sz w:val="20"/>
                <w:lang w:val="en-US" w:eastAsia="zh-CN"/>
              </w:rPr>
              <w:t>公司针对各项能源管理活动的具体情况，确定了应对其风险和机遇的措施，并在能源管理体系过程中整合、实施，将措施纳入公司的各项业务过程，以确保管理体系能够实现预期结果。</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资源</w:t>
            </w:r>
          </w:p>
        </w:tc>
        <w:tc>
          <w:tcPr>
            <w:tcW w:w="9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7.1 </w:t>
            </w:r>
          </w:p>
        </w:tc>
        <w:tc>
          <w:tcPr>
            <w:tcW w:w="10376" w:type="dxa"/>
          </w:tcPr>
          <w:p>
            <w:pPr>
              <w:ind w:firstLine="400" w:firstLineChars="200"/>
              <w:rPr>
                <w:rFonts w:hint="eastAsia"/>
                <w:sz w:val="20"/>
                <w:lang w:val="en-US" w:eastAsia="zh-CN"/>
              </w:rPr>
            </w:pPr>
            <w:r>
              <w:rPr>
                <w:rFonts w:hint="eastAsia"/>
                <w:sz w:val="20"/>
                <w:lang w:val="en-US" w:eastAsia="zh-CN"/>
              </w:rPr>
              <w:t>本公司注册资金见《营业执照》正本；占地面积5231.1 亩，其中矿区面积1.3659平方千米，司配置有 281台车、1254台车、1354台车、卡特铲运机、阿特拉斯铲运机、山特铲运机等高端采矿设备。经识别排查配置有 120 台主要耗能设备等。</w:t>
            </w:r>
          </w:p>
          <w:p>
            <w:pPr>
              <w:ind w:firstLine="400" w:firstLineChars="200"/>
              <w:rPr>
                <w:rFonts w:hint="eastAsia"/>
                <w:sz w:val="20"/>
                <w:lang w:val="en-US" w:eastAsia="zh-CN"/>
              </w:rPr>
            </w:pPr>
            <w:r>
              <w:rPr>
                <w:rFonts w:hint="eastAsia"/>
                <w:sz w:val="20"/>
                <w:lang w:val="en-US" w:eastAsia="zh-CN"/>
              </w:rPr>
              <w:t>公司有一支经验丰富的专业研发团队，公司现有员工944名，其中134人拥有大专以上文凭，29人拥有高级职称。经核实涉及能源管理体系覆盖员工约944人。</w:t>
            </w:r>
          </w:p>
          <w:p>
            <w:pPr>
              <w:ind w:firstLine="400" w:firstLineChars="200"/>
              <w:rPr>
                <w:rFonts w:hint="eastAsia"/>
                <w:sz w:val="20"/>
                <w:lang w:val="en-US" w:eastAsia="zh-CN"/>
              </w:rPr>
            </w:pPr>
            <w:r>
              <w:rPr>
                <w:rFonts w:hint="eastAsia"/>
                <w:sz w:val="20"/>
                <w:lang w:val="en-US" w:eastAsia="zh-CN"/>
              </w:rPr>
              <w:t>资源配置能够满足建立、实施、保持和持续改进能源绩效和能源管理体系的有效运行。</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管理评审</w:t>
            </w:r>
          </w:p>
        </w:tc>
        <w:tc>
          <w:tcPr>
            <w:tcW w:w="9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9.3 </w:t>
            </w:r>
          </w:p>
        </w:tc>
        <w:tc>
          <w:tcPr>
            <w:tcW w:w="10376" w:type="dxa"/>
          </w:tcPr>
          <w:p>
            <w:pPr>
              <w:ind w:firstLine="400" w:firstLineChars="200"/>
              <w:rPr>
                <w:rFonts w:hint="eastAsia"/>
                <w:sz w:val="20"/>
                <w:lang w:val="en-US" w:eastAsia="zh-CN"/>
              </w:rPr>
            </w:pPr>
            <w:r>
              <w:rPr>
                <w:rFonts w:hint="eastAsia"/>
                <w:sz w:val="20"/>
                <w:lang w:val="en-US" w:eastAsia="zh-CN"/>
              </w:rPr>
              <w:t>公司自能源管理体系运行以来组织了一次管理评审，日期： 2021年6月25日。</w:t>
            </w:r>
          </w:p>
          <w:p>
            <w:pPr>
              <w:ind w:firstLine="400" w:firstLineChars="200"/>
              <w:rPr>
                <w:rFonts w:hint="eastAsia"/>
                <w:sz w:val="20"/>
                <w:lang w:val="en-US" w:eastAsia="zh-CN"/>
              </w:rPr>
            </w:pPr>
            <w:r>
              <w:rPr>
                <w:rFonts w:hint="eastAsia"/>
                <w:sz w:val="20"/>
                <w:lang w:val="en-US" w:eastAsia="zh-CN"/>
              </w:rPr>
              <w:t>采用会议形式，总经理范炳洪主持会议。</w:t>
            </w:r>
          </w:p>
          <w:p>
            <w:pPr>
              <w:ind w:firstLine="400" w:firstLineChars="200"/>
              <w:rPr>
                <w:rFonts w:hint="eastAsia"/>
                <w:sz w:val="20"/>
                <w:lang w:val="en-US" w:eastAsia="zh-CN"/>
              </w:rPr>
            </w:pPr>
            <w:r>
              <w:rPr>
                <w:rFonts w:hint="eastAsia"/>
                <w:sz w:val="20"/>
                <w:lang w:val="en-US" w:eastAsia="zh-CN"/>
              </w:rPr>
              <w:t>出示《能源管理评审计划》，编审批齐全。</w:t>
            </w:r>
          </w:p>
          <w:p>
            <w:pPr>
              <w:ind w:firstLine="400" w:firstLineChars="200"/>
              <w:rPr>
                <w:rFonts w:hint="eastAsia"/>
                <w:sz w:val="20"/>
                <w:lang w:val="en-US" w:eastAsia="zh-CN"/>
              </w:rPr>
            </w:pPr>
            <w:r>
              <w:rPr>
                <w:rFonts w:hint="eastAsia"/>
                <w:sz w:val="20"/>
                <w:lang w:val="en-US" w:eastAsia="zh-CN"/>
              </w:rPr>
              <w:t>出示“管理评审会议签到表”总经理、中层以上负责人参加并签到；</w:t>
            </w:r>
          </w:p>
          <w:p>
            <w:pPr>
              <w:ind w:firstLine="400" w:firstLineChars="200"/>
              <w:rPr>
                <w:rFonts w:hint="eastAsia"/>
                <w:sz w:val="20"/>
                <w:lang w:val="en-US" w:eastAsia="zh-CN"/>
              </w:rPr>
            </w:pPr>
            <w:r>
              <w:rPr>
                <w:rFonts w:hint="eastAsia"/>
                <w:sz w:val="20"/>
                <w:lang w:val="en-US" w:eastAsia="zh-CN"/>
              </w:rPr>
              <w:t>出示“管理评审会议记录”，查评审输入内容包括：</w:t>
            </w:r>
          </w:p>
          <w:p>
            <w:pPr>
              <w:ind w:firstLine="400" w:firstLineChars="200"/>
              <w:rPr>
                <w:rFonts w:hint="eastAsia"/>
                <w:sz w:val="20"/>
                <w:lang w:val="en-US" w:eastAsia="zh-CN"/>
              </w:rPr>
            </w:pPr>
            <w:r>
              <w:rPr>
                <w:rFonts w:hint="eastAsia"/>
                <w:sz w:val="20"/>
                <w:lang w:val="en-US" w:eastAsia="zh-CN"/>
              </w:rPr>
              <w:t>1）公司能源目标指标的达到的程度；</w:t>
            </w:r>
          </w:p>
          <w:p>
            <w:pPr>
              <w:ind w:firstLine="400" w:firstLineChars="200"/>
              <w:rPr>
                <w:rFonts w:hint="eastAsia"/>
                <w:sz w:val="20"/>
                <w:lang w:val="en-US" w:eastAsia="zh-CN"/>
              </w:rPr>
            </w:pPr>
            <w:r>
              <w:rPr>
                <w:rFonts w:hint="eastAsia"/>
                <w:sz w:val="20"/>
                <w:lang w:val="en-US" w:eastAsia="zh-CN"/>
              </w:rPr>
              <w:t>2）能源管理体系内部审核的结果；</w:t>
            </w:r>
          </w:p>
          <w:p>
            <w:pPr>
              <w:ind w:firstLine="400" w:firstLineChars="200"/>
              <w:rPr>
                <w:rFonts w:hint="eastAsia"/>
                <w:sz w:val="20"/>
                <w:lang w:val="en-US" w:eastAsia="zh-CN"/>
              </w:rPr>
            </w:pPr>
            <w:r>
              <w:rPr>
                <w:rFonts w:hint="eastAsia"/>
                <w:sz w:val="20"/>
                <w:lang w:val="en-US" w:eastAsia="zh-CN"/>
              </w:rPr>
              <w:t>3）与能源管理体系相关的内、外部因素以及相关的风险和机遇的变化；</w:t>
            </w:r>
          </w:p>
          <w:p>
            <w:pPr>
              <w:ind w:firstLine="400" w:firstLineChars="200"/>
              <w:rPr>
                <w:rFonts w:hint="eastAsia"/>
                <w:sz w:val="20"/>
                <w:lang w:val="en-US" w:eastAsia="zh-CN"/>
              </w:rPr>
            </w:pPr>
            <w:r>
              <w:rPr>
                <w:rFonts w:hint="eastAsia"/>
                <w:sz w:val="20"/>
                <w:lang w:val="en-US" w:eastAsia="zh-CN"/>
              </w:rPr>
              <w:t>4）能源监视和测量结果；；</w:t>
            </w:r>
          </w:p>
          <w:p>
            <w:pPr>
              <w:ind w:firstLine="400" w:firstLineChars="200"/>
              <w:rPr>
                <w:rFonts w:hint="eastAsia"/>
                <w:sz w:val="20"/>
                <w:lang w:val="en-US" w:eastAsia="zh-CN"/>
              </w:rPr>
            </w:pPr>
            <w:r>
              <w:rPr>
                <w:rFonts w:hint="eastAsia"/>
                <w:sz w:val="20"/>
                <w:lang w:val="en-US" w:eastAsia="zh-CN"/>
              </w:rPr>
              <w:t>5）节能技术改造实施方案的状况；</w:t>
            </w:r>
          </w:p>
          <w:p>
            <w:pPr>
              <w:ind w:firstLine="400" w:firstLineChars="200"/>
              <w:rPr>
                <w:rFonts w:hint="eastAsia"/>
                <w:sz w:val="20"/>
                <w:lang w:val="en-US" w:eastAsia="zh-CN"/>
              </w:rPr>
            </w:pPr>
            <w:r>
              <w:rPr>
                <w:rFonts w:hint="eastAsia"/>
                <w:sz w:val="20"/>
                <w:lang w:val="en-US" w:eastAsia="zh-CN"/>
              </w:rPr>
              <w:t>6）法律法规和其他要求的符合性评价结果；</w:t>
            </w:r>
          </w:p>
          <w:p>
            <w:pPr>
              <w:ind w:firstLine="400" w:firstLineChars="200"/>
              <w:rPr>
                <w:rFonts w:hint="eastAsia"/>
                <w:sz w:val="20"/>
                <w:lang w:val="en-US" w:eastAsia="zh-CN"/>
              </w:rPr>
            </w:pPr>
            <w:r>
              <w:rPr>
                <w:rFonts w:hint="eastAsia"/>
                <w:sz w:val="20"/>
                <w:lang w:val="en-US" w:eastAsia="zh-CN"/>
              </w:rPr>
              <w:t xml:space="preserve">7）不符合和纠正措施； </w:t>
            </w:r>
          </w:p>
          <w:p>
            <w:pPr>
              <w:ind w:firstLine="400" w:firstLineChars="200"/>
              <w:rPr>
                <w:rFonts w:hint="eastAsia"/>
                <w:sz w:val="20"/>
                <w:lang w:val="en-US" w:eastAsia="zh-CN"/>
              </w:rPr>
            </w:pPr>
            <w:r>
              <w:rPr>
                <w:rFonts w:hint="eastAsia"/>
                <w:sz w:val="20"/>
                <w:lang w:val="en-US" w:eastAsia="zh-CN"/>
              </w:rPr>
              <w:t xml:space="preserve">8）持续改进的机会，包括能力提升； </w:t>
            </w:r>
          </w:p>
          <w:p>
            <w:pPr>
              <w:ind w:firstLine="400" w:firstLineChars="200"/>
              <w:rPr>
                <w:rFonts w:hint="eastAsia"/>
                <w:sz w:val="20"/>
                <w:lang w:val="en-US" w:eastAsia="zh-CN"/>
              </w:rPr>
            </w:pPr>
            <w:r>
              <w:rPr>
                <w:rFonts w:hint="eastAsia"/>
                <w:sz w:val="20"/>
                <w:lang w:val="en-US" w:eastAsia="zh-CN"/>
              </w:rPr>
              <w:t>9）能源方针；等等。</w:t>
            </w:r>
          </w:p>
          <w:p>
            <w:pPr>
              <w:ind w:firstLine="420" w:firstLineChars="200"/>
              <w:rPr>
                <w:rFonts w:hint="eastAsia"/>
                <w:sz w:val="20"/>
                <w:lang w:val="en-US" w:eastAsia="zh-CN"/>
              </w:rPr>
            </w:pPr>
            <w:r>
              <w:drawing>
                <wp:inline distT="0" distB="0" distL="114300" distR="114300">
                  <wp:extent cx="3658870" cy="2502535"/>
                  <wp:effectExtent l="0" t="0" r="6350"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3658870" cy="2502535"/>
                          </a:xfrm>
                          <a:prstGeom prst="rect">
                            <a:avLst/>
                          </a:prstGeom>
                          <a:noFill/>
                          <a:ln>
                            <a:noFill/>
                          </a:ln>
                        </pic:spPr>
                      </pic:pic>
                    </a:graphicData>
                  </a:graphic>
                </wp:inline>
              </w:drawing>
            </w:r>
          </w:p>
          <w:p>
            <w:pPr>
              <w:ind w:firstLine="400" w:firstLineChars="200"/>
              <w:rPr>
                <w:rFonts w:hint="eastAsia"/>
                <w:sz w:val="20"/>
                <w:lang w:val="en-US" w:eastAsia="zh-CN"/>
              </w:rPr>
            </w:pPr>
            <w:r>
              <w:rPr>
                <w:rFonts w:hint="eastAsia"/>
                <w:sz w:val="20"/>
                <w:lang w:val="en-US" w:eastAsia="zh-CN"/>
              </w:rPr>
              <w:t xml:space="preserve">管理评审输出，形成《管理评审报告》编审批齐全 。内容包括：   </w:t>
            </w:r>
          </w:p>
          <w:p>
            <w:pPr>
              <w:ind w:firstLine="400" w:firstLineChars="200"/>
              <w:rPr>
                <w:rFonts w:hint="eastAsia"/>
                <w:sz w:val="20"/>
                <w:lang w:val="en-US" w:eastAsia="zh-CN"/>
              </w:rPr>
            </w:pPr>
            <w:r>
              <w:rPr>
                <w:rFonts w:hint="eastAsia"/>
                <w:sz w:val="20"/>
                <w:lang w:val="en-US" w:eastAsia="zh-CN"/>
              </w:rPr>
              <w:t>管理评审结论：</w:t>
            </w:r>
          </w:p>
          <w:p>
            <w:pPr>
              <w:ind w:firstLine="400" w:firstLineChars="200"/>
              <w:rPr>
                <w:rFonts w:hint="eastAsia"/>
                <w:sz w:val="20"/>
                <w:lang w:val="en-US" w:eastAsia="zh-CN"/>
              </w:rPr>
            </w:pPr>
            <w:r>
              <w:rPr>
                <w:rFonts w:hint="eastAsia"/>
                <w:sz w:val="20"/>
                <w:lang w:val="en-US" w:eastAsia="zh-CN"/>
              </w:rPr>
              <w:t>1、公司的能源方针，以及目标适应公司情况，并且充分；目标指标已完成。管理方案已完成。</w:t>
            </w:r>
          </w:p>
          <w:p>
            <w:pPr>
              <w:ind w:firstLine="400" w:firstLineChars="200"/>
              <w:rPr>
                <w:rFonts w:hint="eastAsia"/>
                <w:sz w:val="20"/>
                <w:lang w:val="en-US" w:eastAsia="zh-CN"/>
              </w:rPr>
            </w:pPr>
            <w:r>
              <w:rPr>
                <w:rFonts w:hint="eastAsia"/>
                <w:sz w:val="20"/>
                <w:lang w:val="en-US" w:eastAsia="zh-CN"/>
              </w:rPr>
              <w:t>2、公司能源管理手册、程序文件等能源管理体系文件基本符合公司实际情况，并且充分。</w:t>
            </w:r>
          </w:p>
          <w:p>
            <w:pPr>
              <w:ind w:firstLine="400" w:firstLineChars="200"/>
              <w:rPr>
                <w:rFonts w:hint="eastAsia"/>
                <w:sz w:val="20"/>
                <w:lang w:val="en-US" w:eastAsia="zh-CN"/>
              </w:rPr>
            </w:pPr>
            <w:r>
              <w:rPr>
                <w:rFonts w:hint="eastAsia"/>
                <w:sz w:val="20"/>
                <w:lang w:val="en-US" w:eastAsia="zh-CN"/>
              </w:rPr>
              <w:t>3、公司能源管理体系运行基本有效，主要工作较充分。</w:t>
            </w:r>
          </w:p>
          <w:p>
            <w:pPr>
              <w:ind w:firstLine="400" w:firstLineChars="200"/>
              <w:rPr>
                <w:rFonts w:hint="eastAsia"/>
                <w:sz w:val="20"/>
                <w:lang w:val="en-US" w:eastAsia="zh-CN"/>
              </w:rPr>
            </w:pPr>
            <w:r>
              <w:rPr>
                <w:rFonts w:hint="eastAsia"/>
                <w:sz w:val="20"/>
                <w:lang w:val="en-US" w:eastAsia="zh-CN"/>
              </w:rPr>
              <w:t>4、内审工作、节能检查工作进行较好。</w:t>
            </w:r>
          </w:p>
          <w:p>
            <w:pPr>
              <w:ind w:firstLine="400" w:firstLineChars="200"/>
              <w:rPr>
                <w:rFonts w:hint="eastAsia"/>
                <w:sz w:val="20"/>
                <w:lang w:val="en-US" w:eastAsia="zh-CN"/>
              </w:rPr>
            </w:pPr>
            <w:r>
              <w:rPr>
                <w:rFonts w:hint="eastAsia"/>
                <w:sz w:val="20"/>
                <w:lang w:val="en-US" w:eastAsia="zh-CN"/>
              </w:rPr>
              <w:t>5、能源供方、服务方供货情况较好。</w:t>
            </w:r>
          </w:p>
          <w:p>
            <w:pPr>
              <w:ind w:firstLine="400" w:firstLineChars="200"/>
              <w:rPr>
                <w:rFonts w:hint="eastAsia"/>
                <w:sz w:val="20"/>
                <w:lang w:val="en-US" w:eastAsia="zh-CN"/>
              </w:rPr>
            </w:pPr>
            <w:r>
              <w:rPr>
                <w:rFonts w:hint="eastAsia"/>
                <w:sz w:val="20"/>
                <w:lang w:val="en-US" w:eastAsia="zh-CN"/>
              </w:rPr>
              <w:t>6、除人力资源外，其他资源无新要求。</w:t>
            </w:r>
          </w:p>
          <w:p>
            <w:pPr>
              <w:ind w:firstLine="400" w:firstLineChars="200"/>
              <w:rPr>
                <w:rFonts w:hint="eastAsia"/>
                <w:sz w:val="20"/>
                <w:lang w:val="en-US" w:eastAsia="zh-CN"/>
              </w:rPr>
            </w:pPr>
            <w:r>
              <w:rPr>
                <w:rFonts w:hint="eastAsia"/>
                <w:sz w:val="20"/>
                <w:lang w:val="en-US" w:eastAsia="zh-CN"/>
              </w:rPr>
              <w:t>综合结论：方针目标适宜，建立的能源管理体系基本适宜、充分、有效，</w:t>
            </w:r>
          </w:p>
          <w:p>
            <w:pPr>
              <w:ind w:firstLine="400" w:firstLineChars="200"/>
              <w:rPr>
                <w:rFonts w:hint="eastAsia"/>
                <w:sz w:val="20"/>
                <w:lang w:val="en-US" w:eastAsia="zh-CN"/>
              </w:rPr>
            </w:pPr>
            <w:r>
              <w:rPr>
                <w:rFonts w:hint="eastAsia"/>
                <w:sz w:val="20"/>
                <w:lang w:val="en-US" w:eastAsia="zh-CN"/>
              </w:rPr>
              <w:t>评审输出提出的改进能源绩效机会两点：</w:t>
            </w:r>
          </w:p>
          <w:p>
            <w:pPr>
              <w:ind w:firstLine="400" w:firstLineChars="200"/>
              <w:rPr>
                <w:rFonts w:hint="eastAsia"/>
                <w:sz w:val="20"/>
                <w:lang w:val="en-US" w:eastAsia="zh-CN"/>
              </w:rPr>
            </w:pPr>
            <w:r>
              <w:rPr>
                <w:rFonts w:hint="eastAsia"/>
                <w:sz w:val="20"/>
                <w:lang w:val="en-US" w:eastAsia="zh-CN"/>
              </w:rPr>
              <w:t>1）加强对标准的学习和理解，责任部门：人力资源处，责任人：杨继丰</w:t>
            </w:r>
            <w:r>
              <w:rPr>
                <w:rFonts w:hint="eastAsia"/>
                <w:sz w:val="20"/>
                <w:lang w:val="en-US" w:eastAsia="zh-CN"/>
              </w:rPr>
              <w:tab/>
            </w:r>
            <w:r>
              <w:rPr>
                <w:rFonts w:hint="eastAsia"/>
                <w:sz w:val="20"/>
                <w:lang w:val="en-US" w:eastAsia="zh-CN"/>
              </w:rPr>
              <w:t>，完成时间：2021.7；</w:t>
            </w:r>
          </w:p>
          <w:p>
            <w:pPr>
              <w:ind w:firstLine="400" w:firstLineChars="200"/>
              <w:rPr>
                <w:rFonts w:hint="eastAsia"/>
                <w:sz w:val="20"/>
                <w:lang w:val="en-US" w:eastAsia="zh-CN"/>
              </w:rPr>
            </w:pPr>
            <w:r>
              <w:rPr>
                <w:rFonts w:hint="eastAsia"/>
                <w:sz w:val="20"/>
                <w:lang w:val="en-US" w:eastAsia="zh-CN"/>
              </w:rPr>
              <w:t>2）逐步完善能源计量器具的配备，责任部门：生产技术科，责任人：李晓东，完成时间：2021.7。</w:t>
            </w:r>
          </w:p>
          <w:p>
            <w:pPr>
              <w:ind w:firstLine="400" w:firstLineChars="200"/>
              <w:rPr>
                <w:rFonts w:hint="eastAsia"/>
                <w:sz w:val="20"/>
                <w:lang w:val="en-US" w:eastAsia="zh-CN"/>
              </w:rPr>
            </w:pPr>
            <w:r>
              <w:rPr>
                <w:rFonts w:hint="eastAsia"/>
                <w:sz w:val="20"/>
                <w:lang w:val="en-US" w:eastAsia="zh-CN"/>
              </w:rPr>
              <w:t>管理评审过程基本符合标准要求。</w:t>
            </w:r>
          </w:p>
        </w:tc>
        <w:tc>
          <w:tcPr>
            <w:tcW w:w="1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持续改进</w:t>
            </w:r>
          </w:p>
        </w:tc>
        <w:tc>
          <w:tcPr>
            <w:tcW w:w="960" w:type="dxa"/>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 xml:space="preserve">10.2 </w:t>
            </w:r>
          </w:p>
        </w:tc>
        <w:tc>
          <w:tcPr>
            <w:tcW w:w="10376" w:type="dxa"/>
          </w:tcPr>
          <w:p>
            <w:pPr>
              <w:ind w:firstLine="400" w:firstLineChars="200"/>
              <w:rPr>
                <w:rFonts w:hint="eastAsia"/>
                <w:sz w:val="20"/>
                <w:lang w:val="en-US" w:eastAsia="zh-CN"/>
              </w:rPr>
            </w:pPr>
            <w:r>
              <w:rPr>
                <w:rFonts w:hint="eastAsia"/>
                <w:sz w:val="20"/>
                <w:lang w:val="en-US" w:eastAsia="zh-CN"/>
              </w:rPr>
              <w:t>1）公司对能源管理体系内审发现的不符合和问题均进行了原因分析，有针对性的制订纠正/纠正措施，全部纠正/纠正措施实施后进行了效果验证；</w:t>
            </w:r>
          </w:p>
          <w:p>
            <w:pPr>
              <w:ind w:firstLine="400" w:firstLineChars="200"/>
              <w:rPr>
                <w:rFonts w:hint="eastAsia"/>
                <w:sz w:val="20"/>
                <w:lang w:val="en-US" w:eastAsia="zh-CN"/>
              </w:rPr>
            </w:pPr>
            <w:r>
              <w:rPr>
                <w:rFonts w:hint="eastAsia"/>
                <w:sz w:val="20"/>
                <w:lang w:val="en-US" w:eastAsia="zh-CN"/>
              </w:rPr>
              <w:t>2）公司对管理评审提出的二项改进机会分别落实到相关部门，要求尽快制订改进方案，正在落实之中。</w:t>
            </w:r>
          </w:p>
          <w:p>
            <w:pPr>
              <w:ind w:firstLine="400" w:firstLineChars="200"/>
              <w:rPr>
                <w:rFonts w:hint="eastAsia"/>
                <w:sz w:val="20"/>
                <w:lang w:val="en-US" w:eastAsia="zh-CN"/>
              </w:rPr>
            </w:pPr>
            <w:r>
              <w:rPr>
                <w:rFonts w:hint="eastAsia"/>
                <w:sz w:val="20"/>
                <w:lang w:val="en-US" w:eastAsia="zh-CN"/>
              </w:rPr>
              <w:t>3）公司在建立能源管理体系时正在加紧充分考虑相关方需求和期望的信息，并且监视相关方信息的变化。公司自新矿业成立以来，石人沟铁矿通过资源整合、扩产技改、对标挖潜、技术创新、精细管理等手段，快速走上了科学跨越、绿色可持续发展之路，成功建设了河北省首家充填站并实现全尾砂胶结连续充填，填补了全省冶金矿山此项工艺的空白；采矿开采实现了由外委承包向自主开采模式的转变，成为矿业公司首座自主开采的地下矿山；铁精粉产量不断攀升，逐年创历史新高；多项技经指标，如矿石回采率、精矿品位、尾矿品位等在同行业名列前茅，《复杂环境金属矿露天转地下充填开采与尾矿内排协同技术研究》荣获 河北省科技进步一等奖；生产成本逐年递减，在全国充填矿山中处于领先地位。同时，石人沟铁矿以为河北省、矿业公司地下矿大规模发展建设提供经验和人才支撑为己任，不断加强地下矿培训基地软、硬件建设，为省内矿山培养、输送了大量人才，为河北省冶金行业的发展壮大做出了贡献。</w:t>
            </w:r>
          </w:p>
        </w:tc>
        <w:tc>
          <w:tcPr>
            <w:tcW w:w="1213" w:type="dxa"/>
          </w:tcPr>
          <w:p/>
        </w:tc>
      </w:tr>
    </w:tbl>
    <w:p>
      <w:pPr>
        <w:pStyle w:val="3"/>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-36195</wp:posOffset>
          </wp:positionV>
          <wp:extent cx="382270" cy="348615"/>
          <wp:effectExtent l="0" t="0" r="6350" b="1905"/>
          <wp:wrapTight wrapText="bothSides">
            <wp:wrapPolygon>
              <wp:start x="5597" y="0"/>
              <wp:lineTo x="0" y="2833"/>
              <wp:lineTo x="0" y="16997"/>
              <wp:lineTo x="6889" y="21246"/>
              <wp:lineTo x="9472" y="21246"/>
              <wp:lineTo x="14639" y="21246"/>
              <wp:lineTo x="15070" y="21246"/>
              <wp:lineTo x="20237" y="15108"/>
              <wp:lineTo x="21098" y="6610"/>
              <wp:lineTo x="16361" y="944"/>
              <wp:lineTo x="14209" y="0"/>
              <wp:lineTo x="5597"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382270" cy="348615"/>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00E2"/>
    <w:rsid w:val="00062E46"/>
    <w:rsid w:val="000E6B21"/>
    <w:rsid w:val="001A2D7F"/>
    <w:rsid w:val="002939AD"/>
    <w:rsid w:val="00314AF6"/>
    <w:rsid w:val="00337922"/>
    <w:rsid w:val="00340867"/>
    <w:rsid w:val="00380837"/>
    <w:rsid w:val="003A198A"/>
    <w:rsid w:val="00410914"/>
    <w:rsid w:val="00536930"/>
    <w:rsid w:val="00564E53"/>
    <w:rsid w:val="005D5659"/>
    <w:rsid w:val="00600C20"/>
    <w:rsid w:val="00644FE2"/>
    <w:rsid w:val="0067640C"/>
    <w:rsid w:val="006E678B"/>
    <w:rsid w:val="007757F3"/>
    <w:rsid w:val="007C1B48"/>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108219C2"/>
    <w:rsid w:val="25C6426F"/>
    <w:rsid w:val="2CDC1677"/>
    <w:rsid w:val="32334EAE"/>
    <w:rsid w:val="3D507775"/>
    <w:rsid w:val="3E4F4E3C"/>
    <w:rsid w:val="43C45188"/>
    <w:rsid w:val="450827B4"/>
    <w:rsid w:val="5A1D6551"/>
    <w:rsid w:val="5BFD0207"/>
    <w:rsid w:val="5EA12B9A"/>
    <w:rsid w:val="5F5C13F0"/>
    <w:rsid w:val="60D8693C"/>
    <w:rsid w:val="62F24F2F"/>
    <w:rsid w:val="650A78D6"/>
    <w:rsid w:val="6C9D258C"/>
    <w:rsid w:val="6CAA131E"/>
    <w:rsid w:val="70FE0D10"/>
    <w:rsid w:val="7257141B"/>
    <w:rsid w:val="78E67034"/>
    <w:rsid w:val="7E155C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table of figures"/>
    <w:basedOn w:val="1"/>
    <w:next w:val="1"/>
    <w:qFormat/>
    <w:uiPriority w:val="0"/>
    <w:pPr>
      <w:ind w:left="200" w:leftChars="200" w:hanging="200" w:hangingChars="200"/>
    </w:p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rFonts w:ascii="Times New Roman" w:hAnsi="Times New Roman" w:eastAsia="宋体" w:cs="Times New Roman"/>
      <w:sz w:val="18"/>
      <w:szCs w:val="18"/>
    </w:rPr>
  </w:style>
  <w:style w:type="character" w:customStyle="1" w:styleId="10">
    <w:name w:val="页脚 字符"/>
    <w:basedOn w:val="8"/>
    <w:link w:val="3"/>
    <w:qFormat/>
    <w:uiPriority w:val="99"/>
    <w:rPr>
      <w:rFonts w:ascii="Times New Roman" w:hAnsi="Times New Roman" w:eastAsia="宋体" w:cs="Times New Roman"/>
      <w:sz w:val="18"/>
      <w:szCs w:val="18"/>
    </w:rPr>
  </w:style>
  <w:style w:type="character" w:customStyle="1" w:styleId="11">
    <w:name w:val="批注框文本 字符"/>
    <w:basedOn w:val="8"/>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10</TotalTime>
  <ScaleCrop>false</ScaleCrop>
  <LinksUpToDate>false</LinksUpToDate>
  <CharactersWithSpaces>147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2021-08-16T16:24:30Z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73F8F70A04CA49D2B1B1E1AA729824FF</vt:lpwstr>
  </property>
</Properties>
</file>