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后勤作业区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主管领导：孙同强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李春元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王宁敏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2021-8-12  8:00-16:00（其中12:00-13:00午餐）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 组织的岗位、职责和权限、6.2 目标、能源指及其实现的策划、7.4沟通交流、8.1 运行的策划和控制、9.1.1能源绩效和能源管理体系的监视、测量、分析和评价 、10.1不符合与纠正措施；10.2 持续改进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1.组织的岗位、职责和权限，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2.目标、能源指及其实现的策划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/>
        </w:tc>
        <w:tc>
          <w:tcPr>
            <w:tcW w:w="9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10376" w:type="dxa"/>
          </w:tcPr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1、后勤作业区：主管领导：孙同强，岗位设置：作业长：1人，综合管理：4人，宿舍、公寓：9人，招待所所：5人，三化组：6人，食堂：2人</w:t>
            </w:r>
            <w:r>
              <w:rPr>
                <w:rFonts w:hint="eastAsia"/>
                <w:szCs w:val="22"/>
                <w:lang w:val="en-US" w:eastAsia="zh-CN"/>
              </w:rPr>
              <w:t>。共 27 人。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部门能源职责：1、负责本单位范围内安全生产工作全面负责。2、每周组织一次安全联查，督促落实各项安全检查隐患整改工作。3、负责本单位招待所、宿舍等的日常管理工作。4、负责本单位所有设备、设施的保养维护工作。5、负责全矿范围内的花草、树木绿化培育工作。6、做好辖区内的卫生、安全、消防检查和隐患治理工作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2、提供后勤作业区能源管理目标</w:t>
            </w:r>
          </w:p>
          <w:p>
            <w:pPr>
              <w:ind w:firstLine="630" w:firstLineChars="3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1）宿舍电1000kwh/月</w:t>
            </w:r>
          </w:p>
          <w:p>
            <w:pPr>
              <w:ind w:firstLine="630" w:firstLineChars="3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2）大学生公寓400kwh/月</w:t>
            </w:r>
          </w:p>
          <w:p>
            <w:pPr>
              <w:ind w:firstLine="630" w:firstLineChars="3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3）招待所电取暖季1-3月共6000kwh，11-12月共4000kwh，季末考核。其余月份650kwh/月。</w:t>
            </w:r>
          </w:p>
          <w:p>
            <w:pPr>
              <w:ind w:firstLine="420" w:firstLineChars="200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考核记录：</w:t>
            </w:r>
            <w:r>
              <w:rPr>
                <w:rFonts w:hint="eastAsia"/>
                <w:szCs w:val="22"/>
                <w:lang w:val="en-US" w:eastAsia="zh-CN"/>
              </w:rPr>
              <w:fldChar w:fldCharType="begin"/>
            </w:r>
            <w:r>
              <w:rPr>
                <w:rFonts w:hint="eastAsia"/>
                <w:szCs w:val="22"/>
                <w:lang w:val="en-US" w:eastAsia="zh-CN"/>
              </w:rPr>
              <w:instrText xml:space="preserve"> LINK Excel.Sheet.8 "C:\\Users\\孙同强\\Desktop\\后勤.xls" "Sheet1!R1C4:R4C9" \a \f 4 \h  \* MERGEFORMAT </w:instrText>
            </w:r>
            <w:r>
              <w:rPr>
                <w:rFonts w:hint="eastAsia"/>
                <w:szCs w:val="22"/>
                <w:lang w:val="en-US" w:eastAsia="zh-CN"/>
              </w:rPr>
              <w:fldChar w:fldCharType="separate"/>
            </w:r>
          </w:p>
          <w:tbl>
            <w:tblPr>
              <w:tblStyle w:val="6"/>
              <w:tblW w:w="6433" w:type="dxa"/>
              <w:tblInd w:w="136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2"/>
              <w:gridCol w:w="1072"/>
              <w:gridCol w:w="1073"/>
              <w:gridCol w:w="1072"/>
              <w:gridCol w:w="1072"/>
              <w:gridCol w:w="107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0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0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10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0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970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840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760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700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684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667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10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356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308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326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363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372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321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4520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760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520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ind w:firstLine="420" w:firstLineChars="200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280</w:t>
                  </w:r>
                </w:p>
              </w:tc>
            </w:tr>
          </w:tbl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   查阅相关记录，全部完成。见下面相关审核记录。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160" w:type="dxa"/>
          </w:tcPr>
          <w:p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沟通交流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7.4</w:t>
            </w: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</w:t>
            </w:r>
            <w:r>
              <w:rPr>
                <w:rStyle w:val="16"/>
                <w:rFonts w:hint="eastAsia" w:cs="Segoe UI"/>
                <w:sz w:val="21"/>
                <w:szCs w:val="21"/>
              </w:rPr>
              <w:t>信息交流与沟通控制程序</w:t>
            </w:r>
            <w:r>
              <w:rPr>
                <w:rFonts w:hint="eastAsia"/>
                <w:lang w:val="en-US" w:eastAsia="zh-CN"/>
              </w:rPr>
              <w:t>》为保证本公司内全体员工能有效的参与管理活动，保证本公司内、外部有关能源管理信息沟通渠道畅通，信息得到准确、及时的传递。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后勤作业区通过内外部信息交流、沟通进行联系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包括交接班会、生产服务调度会、顾客信息反馈联系单、各项工作检查汇报会来进行沟通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对来自外部和内部的</w:t>
            </w:r>
            <w:r>
              <w:rPr>
                <w:rFonts w:hint="eastAsia"/>
                <w:lang w:val="en-US" w:eastAsia="zh-CN"/>
              </w:rPr>
              <w:t>服务管理</w:t>
            </w:r>
            <w:r>
              <w:rPr>
                <w:rFonts w:hint="eastAsia"/>
              </w:rPr>
              <w:t>进行分析识别评价，并进行管控。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960" w:type="dxa"/>
          </w:tcPr>
          <w:p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</w:t>
            </w:r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文件化信息</w:t>
            </w:r>
            <w:r>
              <w:rPr>
                <w:rFonts w:hint="eastAsia"/>
                <w:lang w:eastAsia="zh-CN"/>
              </w:rPr>
              <w:t>：《</w:t>
            </w:r>
            <w:r>
              <w:rPr>
                <w:rFonts w:hint="eastAsia"/>
                <w:lang w:val="en-US" w:eastAsia="zh-CN"/>
              </w:rPr>
              <w:t>制度清单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主要有《生活后勤作业区用水管理制度》《用电管理制度》等，有发布，实施。有编审批。确保了其适宜性和充分性。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每班抽查：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1、各班组禁止长明灯、长流水现象，因设施故障造成的要及时上报维修。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2、各岗位用电设备及时关闭，避免造成浪费。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3、严格执行制定的能源指标及考核管理办法。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计划及落实：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随同设保组织的联查每周进行检查，并对发现的问题及时上报整改</w:t>
            </w:r>
            <w:r>
              <w:rPr>
                <w:rFonts w:hint="eastAsia"/>
                <w:szCs w:val="22"/>
                <w:lang w:val="en-US" w:eastAsia="zh-CN"/>
              </w:rPr>
              <w:t>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能源绩效和能源管理体系的监视、测量、分析和评价 、不符合与纠正措施；持续改进。</w:t>
            </w:r>
          </w:p>
        </w:tc>
        <w:tc>
          <w:tcPr>
            <w:tcW w:w="96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9.1.</w:t>
            </w:r>
            <w:r>
              <w:rPr>
                <w:rFonts w:hint="eastAsia"/>
                <w:lang w:val="en-US" w:eastAsia="zh-CN"/>
              </w:rPr>
              <w:t>1/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10.1/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10.2</w:t>
            </w:r>
            <w:bookmarkStart w:id="0" w:name="_GoBack"/>
            <w:bookmarkEnd w:id="0"/>
          </w:p>
        </w:tc>
        <w:tc>
          <w:tcPr>
            <w:tcW w:w="10376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《监视、测量与分析控制程序》《不符合、纠正、纠正措施和预防措施控制程序》公司建立、实施并保持《监视、测量与分析控制程序》，以实现对能源管理绩效的监视、测量与评价，本单位负责本部门的相关目标、指标、运行控制等的监控和测量。负责目标、指标的逐级分解，制定部门的考核评价办法，建立能源消耗台账，并分析能源统计数据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监视、测量主要内容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（1）能源目标、指标和管理方案执行情况的监控。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（2）对能源相关技术、运行参数和指标的监测。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（3）重点耗能设备的指标运行监测。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（4）现场用能情况的检查。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（5）对体系运行的有效性和符合性进行监控。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（6）能源绩效参数。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（7）能源利用过程中的重要运行参数。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（8）节能效果的监视。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公司规定了为了及时纠正在能源管理体系运行中发现的不符合，采取有效的纠正措施与预防措施，减少对生产经营活动的影响，避免不符合的再次发生。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目前后勤作业区提供2021年1至6月的对招待所、食堂、公寓的检查记录，没有发生违规现象。</w:t>
            </w:r>
          </w:p>
        </w:tc>
        <w:tc>
          <w:tcPr>
            <w:tcW w:w="1213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75285" cy="359410"/>
          <wp:effectExtent l="0" t="0" r="0" b="6350"/>
          <wp:wrapTight wrapText="bothSides">
            <wp:wrapPolygon>
              <wp:start x="5702" y="0"/>
              <wp:lineTo x="0" y="2748"/>
              <wp:lineTo x="0" y="16486"/>
              <wp:lineTo x="6579" y="21066"/>
              <wp:lineTo x="9210" y="21066"/>
              <wp:lineTo x="14473" y="21066"/>
              <wp:lineTo x="14912" y="21066"/>
              <wp:lineTo x="20613" y="14654"/>
              <wp:lineTo x="20613" y="5953"/>
              <wp:lineTo x="17105" y="1374"/>
              <wp:lineTo x="14035" y="0"/>
              <wp:lineTo x="570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3DC30E0"/>
    <w:rsid w:val="05DF3DCC"/>
    <w:rsid w:val="108219C2"/>
    <w:rsid w:val="12EC4A9A"/>
    <w:rsid w:val="139C646D"/>
    <w:rsid w:val="16B93B5D"/>
    <w:rsid w:val="27CE53B5"/>
    <w:rsid w:val="2B283970"/>
    <w:rsid w:val="355A4358"/>
    <w:rsid w:val="38052C74"/>
    <w:rsid w:val="39E7305B"/>
    <w:rsid w:val="3D245307"/>
    <w:rsid w:val="3D6D656F"/>
    <w:rsid w:val="59A63954"/>
    <w:rsid w:val="5AD0717F"/>
    <w:rsid w:val="5B553FC5"/>
    <w:rsid w:val="5BFD0207"/>
    <w:rsid w:val="5D147476"/>
    <w:rsid w:val="5EA12B9A"/>
    <w:rsid w:val="5F0D1C5A"/>
    <w:rsid w:val="621F7D19"/>
    <w:rsid w:val="66856E51"/>
    <w:rsid w:val="715616AC"/>
    <w:rsid w:val="765038CB"/>
    <w:rsid w:val="7B371D97"/>
    <w:rsid w:val="7D5E6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5">
    <w:name w:val="表头"/>
    <w:basedOn w:val="1"/>
    <w:next w:val="1"/>
    <w:qFormat/>
    <w:uiPriority w:val="0"/>
    <w:pPr>
      <w:spacing w:beforeLines="50" w:afterLines="20"/>
      <w:jc w:val="center"/>
      <w:textAlignment w:val="center"/>
    </w:pPr>
    <w:rPr>
      <w:rFonts w:ascii="宋体" w:hAnsi="宋体" w:cs="宋体"/>
      <w:sz w:val="24"/>
      <w:szCs w:val="24"/>
    </w:rPr>
  </w:style>
  <w:style w:type="character" w:customStyle="1" w:styleId="16">
    <w:name w:val="normaltextrun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王宁敏</cp:lastModifiedBy>
  <dcterms:modified xsi:type="dcterms:W3CDTF">2021-08-11T09:00:23Z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