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76"/>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jc w:val="center"/>
              <w:rPr>
                <w:sz w:val="24"/>
                <w:szCs w:val="24"/>
              </w:rPr>
            </w:pPr>
            <w:r>
              <w:rPr>
                <w:rFonts w:hint="eastAsia"/>
                <w:sz w:val="24"/>
                <w:szCs w:val="24"/>
              </w:rPr>
              <w:t>涉及</w:t>
            </w:r>
          </w:p>
          <w:p>
            <w:pPr>
              <w:jc w:val="center"/>
            </w:pPr>
            <w:r>
              <w:rPr>
                <w:rFonts w:hint="eastAsia"/>
                <w:sz w:val="24"/>
                <w:szCs w:val="24"/>
              </w:rPr>
              <w:t>条款</w:t>
            </w:r>
          </w:p>
        </w:tc>
        <w:tc>
          <w:tcPr>
            <w:tcW w:w="10376" w:type="dxa"/>
            <w:vAlign w:val="center"/>
          </w:tcPr>
          <w:p>
            <w:pPr>
              <w:rPr>
                <w:rFonts w:hint="eastAsia" w:eastAsia="宋体"/>
                <w:sz w:val="24"/>
                <w:szCs w:val="24"/>
                <w:lang w:val="en-US" w:eastAsia="zh-CN"/>
              </w:rPr>
            </w:pPr>
            <w:r>
              <w:rPr>
                <w:rFonts w:hint="eastAsia"/>
                <w:sz w:val="24"/>
                <w:szCs w:val="24"/>
              </w:rPr>
              <w:t>受审核部门：</w:t>
            </w:r>
            <w:r>
              <w:rPr>
                <w:rFonts w:hint="eastAsia"/>
                <w:sz w:val="24"/>
                <w:szCs w:val="24"/>
                <w:lang w:val="en-US" w:eastAsia="zh-CN"/>
              </w:rPr>
              <w:t>人力资源科</w:t>
            </w:r>
            <w:r>
              <w:rPr>
                <w:sz w:val="24"/>
                <w:szCs w:val="24"/>
              </w:rPr>
              <w:t xml:space="preserve">    </w:t>
            </w:r>
            <w:r>
              <w:rPr>
                <w:rFonts w:hint="eastAsia"/>
                <w:sz w:val="24"/>
                <w:szCs w:val="24"/>
              </w:rPr>
              <w:t>主管领导：</w:t>
            </w:r>
            <w:r>
              <w:rPr>
                <w:rFonts w:hint="eastAsia"/>
                <w:sz w:val="24"/>
                <w:szCs w:val="24"/>
                <w:lang w:val="en-US" w:eastAsia="zh-CN"/>
              </w:rPr>
              <w:t xml:space="preserve"> 杨继丰  </w:t>
            </w:r>
            <w:r>
              <w:rPr>
                <w:sz w:val="24"/>
                <w:szCs w:val="24"/>
              </w:rPr>
              <w:t xml:space="preserve">       </w:t>
            </w:r>
            <w:r>
              <w:rPr>
                <w:rFonts w:hint="eastAsia"/>
                <w:sz w:val="24"/>
                <w:szCs w:val="24"/>
              </w:rPr>
              <w:t>陪同人员：</w:t>
            </w:r>
            <w:r>
              <w:rPr>
                <w:rFonts w:hint="eastAsia"/>
                <w:sz w:val="24"/>
                <w:szCs w:val="24"/>
                <w:lang w:val="en-US" w:eastAsia="zh-CN"/>
              </w:rPr>
              <w:t>李春元</w:t>
            </w:r>
          </w:p>
        </w:tc>
        <w:tc>
          <w:tcPr>
            <w:tcW w:w="1213" w:type="dxa"/>
            <w:vMerge w:val="restart"/>
            <w:vAlign w:val="center"/>
          </w:tcPr>
          <w:p>
            <w:pPr>
              <w:jc w:val="cente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376" w:type="dxa"/>
            <w:vAlign w:val="center"/>
          </w:tcPr>
          <w:p>
            <w:pPr>
              <w:snapToGrid w:val="0"/>
              <w:spacing w:line="280" w:lineRule="exact"/>
              <w:jc w:val="both"/>
            </w:pPr>
            <w:r>
              <w:rPr>
                <w:rFonts w:hint="eastAsia"/>
                <w:sz w:val="24"/>
                <w:szCs w:val="24"/>
              </w:rPr>
              <w:t>审核员：</w:t>
            </w:r>
            <w:r>
              <w:rPr>
                <w:rFonts w:hint="eastAsia"/>
                <w:sz w:val="24"/>
                <w:szCs w:val="24"/>
                <w:lang w:val="en-US" w:eastAsia="zh-CN"/>
              </w:rPr>
              <w:t>王宁敏</w:t>
            </w:r>
            <w:r>
              <w:rPr>
                <w:sz w:val="24"/>
                <w:szCs w:val="24"/>
              </w:rPr>
              <w:t xml:space="preserve">       </w:t>
            </w:r>
            <w:r>
              <w:rPr>
                <w:rFonts w:hint="eastAsia"/>
                <w:sz w:val="24"/>
                <w:szCs w:val="24"/>
              </w:rPr>
              <w:t>审核时间：</w:t>
            </w:r>
            <w:r>
              <w:rPr>
                <w:rFonts w:hint="eastAsia"/>
                <w:sz w:val="24"/>
                <w:szCs w:val="24"/>
                <w:lang w:val="en-US" w:eastAsia="zh-CN"/>
              </w:rPr>
              <w:t>2021-8-11  8:00-17:00（其中12:00-13:00午餐）</w:t>
            </w:r>
          </w:p>
        </w:tc>
        <w:tc>
          <w:tcPr>
            <w:tcW w:w="1213"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376" w:type="dxa"/>
            <w:vAlign w:val="center"/>
          </w:tcPr>
          <w:p>
            <w:pPr>
              <w:rPr>
                <w:rFonts w:hint="eastAsia" w:eastAsia="宋体"/>
                <w:sz w:val="24"/>
                <w:szCs w:val="24"/>
                <w:lang w:val="en-US" w:eastAsia="zh-CN"/>
              </w:rPr>
            </w:pPr>
            <w:r>
              <w:rPr>
                <w:rFonts w:hint="eastAsia"/>
                <w:sz w:val="24"/>
                <w:szCs w:val="24"/>
              </w:rPr>
              <w:t>审核条款：</w:t>
            </w:r>
            <w:r>
              <w:rPr>
                <w:rFonts w:hint="eastAsia" w:ascii="宋体" w:hAnsi="宋体" w:eastAsia="宋体" w:cs="Times New Roman"/>
                <w:sz w:val="21"/>
                <w:szCs w:val="21"/>
              </w:rPr>
              <w:t>5.3 组织的岗位、职责和权限、6.2 目标、能源指及其实现的策划、7.2 能力、7.3 意识、7.4沟通交流、8.1 运行的策划和控制、10.1不符合与纠正措施</w:t>
            </w:r>
            <w:r>
              <w:rPr>
                <w:rFonts w:hint="eastAsia" w:ascii="宋体" w:hAnsi="宋体" w:cs="Times New Roman"/>
                <w:sz w:val="21"/>
                <w:szCs w:val="21"/>
                <w:lang w:eastAsia="zh-CN"/>
              </w:rPr>
              <w:t>。</w:t>
            </w:r>
          </w:p>
        </w:tc>
        <w:tc>
          <w:tcPr>
            <w:tcW w:w="1213"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7" w:hRule="atLeast"/>
        </w:trPr>
        <w:tc>
          <w:tcPr>
            <w:tcW w:w="2160" w:type="dxa"/>
          </w:tcPr>
          <w:p>
            <w:r>
              <w:rPr>
                <w:rFonts w:hint="eastAsia" w:ascii="宋体" w:hAnsi="宋体" w:eastAsia="宋体" w:cs="Times New Roman"/>
                <w:sz w:val="21"/>
                <w:szCs w:val="21"/>
              </w:rPr>
              <w:t>1.</w:t>
            </w:r>
            <w:r>
              <w:rPr>
                <w:rFonts w:hint="eastAsia" w:ascii="宋体" w:hAnsi="宋体" w:eastAsia="宋体" w:cs="Times New Roman"/>
                <w:sz w:val="21"/>
                <w:szCs w:val="21"/>
                <w:lang w:val="en-US" w:eastAsia="zh-CN"/>
              </w:rPr>
              <w:t>能源</w:t>
            </w:r>
            <w:r>
              <w:rPr>
                <w:rFonts w:hint="eastAsia" w:ascii="宋体" w:hAnsi="宋体" w:eastAsia="宋体" w:cs="Times New Roman"/>
                <w:sz w:val="21"/>
                <w:szCs w:val="21"/>
              </w:rPr>
              <w:t>职责、</w:t>
            </w:r>
            <w:r>
              <w:rPr>
                <w:rFonts w:hint="eastAsia" w:ascii="宋体" w:hAnsi="宋体" w:eastAsia="宋体" w:cs="Times New Roman"/>
                <w:sz w:val="21"/>
                <w:szCs w:val="21"/>
                <w:lang w:val="en-US" w:eastAsia="zh-CN"/>
              </w:rPr>
              <w:t>能源</w:t>
            </w:r>
            <w:r>
              <w:rPr>
                <w:rFonts w:hint="eastAsia" w:ascii="宋体" w:hAnsi="宋体" w:eastAsia="宋体" w:cs="Times New Roman"/>
                <w:sz w:val="21"/>
                <w:szCs w:val="21"/>
              </w:rPr>
              <w:t>管理目标及实现措施策划适宜性，履行职责和目标实现情况；</w:t>
            </w:r>
          </w:p>
        </w:tc>
        <w:tc>
          <w:tcPr>
            <w:tcW w:w="960" w:type="dxa"/>
          </w:tcPr>
          <w:p>
            <w:r>
              <w:rPr>
                <w:rFonts w:hint="eastAsia" w:ascii="宋体" w:hAnsi="宋体" w:eastAsia="宋体" w:cs="Times New Roman"/>
                <w:sz w:val="21"/>
                <w:szCs w:val="21"/>
              </w:rPr>
              <w:t>5.3</w:t>
            </w:r>
            <w:r>
              <w:rPr>
                <w:rFonts w:hint="eastAsia" w:ascii="宋体" w:hAnsi="宋体" w:eastAsia="宋体" w:cs="Times New Roman"/>
                <w:sz w:val="21"/>
                <w:szCs w:val="21"/>
                <w:lang w:val="en-US" w:eastAsia="zh-CN"/>
              </w:rPr>
              <w:t>/</w:t>
            </w:r>
            <w:r>
              <w:rPr>
                <w:rFonts w:hint="eastAsia" w:ascii="宋体" w:hAnsi="宋体" w:eastAsia="宋体" w:cs="Times New Roman"/>
                <w:sz w:val="21"/>
                <w:szCs w:val="21"/>
              </w:rPr>
              <w:t>6.2</w:t>
            </w:r>
          </w:p>
        </w:tc>
        <w:tc>
          <w:tcPr>
            <w:tcW w:w="10376" w:type="dxa"/>
          </w:tcPr>
          <w:p>
            <w:pPr>
              <w:ind w:firstLine="420" w:firstLineChars="200"/>
              <w:rPr>
                <w:rFonts w:hint="eastAsia"/>
                <w:szCs w:val="22"/>
                <w:lang w:val="en-US" w:eastAsia="zh-CN"/>
              </w:rPr>
            </w:pPr>
            <w:r>
              <w:rPr>
                <w:rFonts w:hint="eastAsia"/>
                <w:lang w:val="en-US" w:eastAsia="zh-CN"/>
              </w:rPr>
              <w:t>1.人力资源部：领导：</w:t>
            </w:r>
            <w:r>
              <w:rPr>
                <w:rFonts w:hint="eastAsia"/>
                <w:szCs w:val="22"/>
                <w:lang w:val="en-US" w:eastAsia="zh-CN"/>
              </w:rPr>
              <w:t xml:space="preserve">杨继丰 </w:t>
            </w:r>
            <w:r>
              <w:rPr>
                <w:rFonts w:hint="eastAsia"/>
                <w:lang w:val="en-US" w:eastAsia="zh-CN"/>
              </w:rPr>
              <w:t>，共6人；岗位设置：副科长、劳动组织员、薪酬管理员、教育培训员、社会保险员、退休管理员</w:t>
            </w:r>
            <w:r>
              <w:rPr>
                <w:rFonts w:hint="eastAsia"/>
                <w:szCs w:val="22"/>
                <w:lang w:val="en-US" w:eastAsia="zh-CN"/>
              </w:rPr>
              <w:t>。</w:t>
            </w:r>
          </w:p>
          <w:p>
            <w:pPr>
              <w:numPr>
                <w:ilvl w:val="0"/>
                <w:numId w:val="0"/>
              </w:numPr>
              <w:ind w:left="420" w:leftChars="0"/>
              <w:rPr>
                <w:rFonts w:hint="default"/>
                <w:szCs w:val="22"/>
                <w:lang w:val="en-US" w:eastAsia="zh-CN"/>
              </w:rPr>
            </w:pPr>
            <w:r>
              <w:rPr>
                <w:rFonts w:hint="eastAsia"/>
                <w:szCs w:val="22"/>
                <w:lang w:val="en-US" w:eastAsia="zh-CN"/>
              </w:rPr>
              <w:t>本部门的能源职责：</w:t>
            </w:r>
          </w:p>
          <w:p>
            <w:pPr>
              <w:numPr>
                <w:ilvl w:val="0"/>
                <w:numId w:val="0"/>
              </w:numPr>
              <w:ind w:left="420" w:leftChars="0" w:firstLine="210" w:firstLineChars="100"/>
              <w:rPr>
                <w:rFonts w:hint="eastAsia"/>
                <w:szCs w:val="22"/>
                <w:lang w:val="en-US" w:eastAsia="zh-CN"/>
              </w:rPr>
            </w:pPr>
            <w:r>
              <w:rPr>
                <w:rFonts w:hint="eastAsia"/>
                <w:szCs w:val="22"/>
                <w:lang w:val="en-US" w:eastAsia="zh-CN"/>
              </w:rPr>
              <w:t>a）负责确定公司各级能源管理业务组织、管理负责人及管理岗位、管理人员的配置工作。</w:t>
            </w:r>
          </w:p>
          <w:p>
            <w:pPr>
              <w:numPr>
                <w:ilvl w:val="0"/>
                <w:numId w:val="0"/>
              </w:numPr>
              <w:ind w:left="420" w:leftChars="0" w:firstLine="210" w:firstLineChars="100"/>
              <w:rPr>
                <w:rFonts w:hint="eastAsia"/>
                <w:szCs w:val="22"/>
                <w:lang w:val="en-US" w:eastAsia="zh-CN"/>
              </w:rPr>
            </w:pPr>
            <w:r>
              <w:rPr>
                <w:rFonts w:hint="eastAsia"/>
                <w:szCs w:val="22"/>
                <w:lang w:val="en-US" w:eastAsia="zh-CN"/>
              </w:rPr>
              <w:t>b）负责能源管理体系相关方面的培训等工作,负责组织全体员工的培训工作，制定培训计划并组织实施。</w:t>
            </w:r>
          </w:p>
          <w:p>
            <w:pPr>
              <w:numPr>
                <w:ilvl w:val="0"/>
                <w:numId w:val="0"/>
              </w:numPr>
              <w:ind w:left="420" w:leftChars="0" w:firstLine="210" w:firstLineChars="100"/>
              <w:rPr>
                <w:rFonts w:hint="eastAsia"/>
                <w:szCs w:val="22"/>
                <w:lang w:val="en-US" w:eastAsia="zh-CN"/>
              </w:rPr>
            </w:pPr>
            <w:r>
              <w:rPr>
                <w:rFonts w:hint="eastAsia"/>
                <w:szCs w:val="22"/>
                <w:lang w:val="en-US" w:eastAsia="zh-CN"/>
              </w:rPr>
              <w:t>c）负责与能源相关的特殊工种资质的管理。</w:t>
            </w:r>
          </w:p>
          <w:p>
            <w:pPr>
              <w:pStyle w:val="2"/>
              <w:rPr>
                <w:rFonts w:hint="eastAsia"/>
                <w:szCs w:val="22"/>
                <w:lang w:val="en-US" w:eastAsia="zh-CN"/>
              </w:rPr>
            </w:pPr>
            <w:r>
              <w:rPr>
                <w:rFonts w:hint="eastAsia"/>
                <w:szCs w:val="22"/>
                <w:lang w:val="en-US" w:eastAsia="zh-CN"/>
              </w:rPr>
              <w:t>涵盖：</w:t>
            </w:r>
          </w:p>
          <w:p>
            <w:pPr>
              <w:ind w:firstLine="840" w:firstLineChars="400"/>
              <w:rPr>
                <w:rFonts w:hint="default"/>
                <w:lang w:val="en-US" w:eastAsia="zh-CN"/>
              </w:rPr>
            </w:pPr>
            <w:r>
              <w:rPr>
                <w:rFonts w:hint="default"/>
                <w:lang w:val="en-US" w:eastAsia="zh-CN"/>
              </w:rPr>
              <w:t>（1）负责组织公司职工教育培训工作，并对培训效果进行考核。</w:t>
            </w:r>
          </w:p>
          <w:p>
            <w:pPr>
              <w:ind w:firstLine="840" w:firstLineChars="400"/>
              <w:rPr>
                <w:rFonts w:hint="default"/>
                <w:lang w:val="en-US" w:eastAsia="zh-CN"/>
              </w:rPr>
            </w:pPr>
            <w:r>
              <w:rPr>
                <w:rFonts w:hint="default"/>
                <w:lang w:val="en-US" w:eastAsia="zh-CN"/>
              </w:rPr>
              <w:t>（2）严把招工关，新招录人员符合从业条件。</w:t>
            </w:r>
          </w:p>
          <w:p>
            <w:pPr>
              <w:ind w:firstLine="840" w:firstLineChars="400"/>
              <w:rPr>
                <w:rFonts w:hint="default"/>
                <w:lang w:val="en-US" w:eastAsia="zh-CN"/>
              </w:rPr>
            </w:pPr>
            <w:r>
              <w:rPr>
                <w:rFonts w:hint="default"/>
                <w:lang w:val="en-US" w:eastAsia="zh-CN"/>
              </w:rPr>
              <w:t>（3）加强劳动纪律管理，严格考核，保证正常的安全生产秩序。</w:t>
            </w:r>
          </w:p>
          <w:p>
            <w:pPr>
              <w:ind w:firstLine="840" w:firstLineChars="400"/>
              <w:rPr>
                <w:rFonts w:hint="default"/>
                <w:lang w:val="en-US" w:eastAsia="zh-CN"/>
              </w:rPr>
            </w:pPr>
            <w:r>
              <w:rPr>
                <w:rFonts w:hint="default"/>
                <w:lang w:val="en-US" w:eastAsia="zh-CN"/>
              </w:rPr>
              <w:t>（4）负责薪酬管理工作，职工上岗、评奖、晋升、薪酬分配与安全生产挂钩考核。</w:t>
            </w:r>
          </w:p>
          <w:p>
            <w:pPr>
              <w:ind w:firstLine="840" w:firstLineChars="400"/>
              <w:rPr>
                <w:rFonts w:hint="default"/>
                <w:lang w:val="en-US" w:eastAsia="zh-CN"/>
              </w:rPr>
            </w:pPr>
            <w:r>
              <w:rPr>
                <w:rFonts w:hint="default"/>
                <w:lang w:val="en-US" w:eastAsia="zh-CN"/>
              </w:rPr>
              <w:t>（5）为职工缴纳工伤保险，负责工伤职工相关待遇工作。</w:t>
            </w:r>
          </w:p>
          <w:p>
            <w:pPr>
              <w:pStyle w:val="2"/>
              <w:ind w:left="840" w:leftChars="400" w:firstLine="0" w:firstLineChars="0"/>
              <w:rPr>
                <w:rFonts w:hint="eastAsia"/>
                <w:lang w:val="en-US" w:eastAsia="zh-CN"/>
              </w:rPr>
            </w:pPr>
            <w:r>
              <w:rPr>
                <w:rFonts w:hint="eastAsia"/>
                <w:szCs w:val="22"/>
                <w:lang w:val="en-US" w:eastAsia="zh-CN"/>
              </w:rPr>
              <w:t>2.提供人力资源科能源管理目标</w:t>
            </w:r>
          </w:p>
          <w:p>
            <w:pPr>
              <w:pStyle w:val="2"/>
              <w:rPr>
                <w:rFonts w:hint="eastAsia"/>
                <w:lang w:val="en-US" w:eastAsia="zh-CN"/>
              </w:rPr>
            </w:pPr>
            <w:r>
              <w:rPr>
                <w:rFonts w:hint="eastAsia"/>
                <w:lang w:val="en-US" w:eastAsia="zh-CN"/>
              </w:rPr>
              <w:t xml:space="preserve">    按期组织职工培训。</w:t>
            </w:r>
          </w:p>
          <w:p>
            <w:pPr>
              <w:pStyle w:val="2"/>
              <w:rPr>
                <w:rFonts w:hint="default"/>
                <w:lang w:val="en-US" w:eastAsia="zh-CN"/>
              </w:rPr>
            </w:pPr>
            <w:r>
              <w:rPr>
                <w:rFonts w:hint="eastAsia"/>
                <w:lang w:val="en-US" w:eastAsia="zh-CN"/>
              </w:rPr>
              <w:t xml:space="preserve">    </w:t>
            </w:r>
            <w:r>
              <w:rPr>
                <w:rFonts w:hint="eastAsia"/>
                <w:color w:val="FF0000"/>
                <w:lang w:val="en-US" w:eastAsia="zh-CN"/>
              </w:rPr>
              <w:t>但是在能源方面的目标指标不明晰。</w:t>
            </w:r>
          </w:p>
          <w:p>
            <w:pPr>
              <w:pStyle w:val="2"/>
              <w:rPr>
                <w:rFonts w:hint="default"/>
                <w:lang w:val="en-US" w:eastAsia="zh-CN"/>
              </w:rPr>
            </w:pPr>
            <w:r>
              <w:rPr>
                <w:rFonts w:hint="eastAsia"/>
                <w:lang w:val="en-US" w:eastAsia="zh-CN"/>
              </w:rPr>
              <w:t>查阅相关记录，全部完成。见下面相关审核记录。</w:t>
            </w:r>
          </w:p>
          <w:p>
            <w:pPr>
              <w:pStyle w:val="2"/>
              <w:numPr>
                <w:ilvl w:val="0"/>
                <w:numId w:val="0"/>
              </w:numPr>
              <w:ind w:leftChars="0" w:firstLine="420" w:firstLineChars="200"/>
              <w:rPr>
                <w:rFonts w:hint="default"/>
                <w:lang w:val="en-US" w:eastAsia="zh-CN"/>
              </w:rPr>
            </w:pPr>
            <w:r>
              <w:rPr>
                <w:rFonts w:hint="eastAsia"/>
                <w:lang w:val="en-US" w:eastAsia="zh-CN"/>
              </w:rPr>
              <w:t>3.查阅公司对各部门的考核，抽查2021年6月的考核记录，    基本完成目标指标。</w:t>
            </w:r>
          </w:p>
          <w:p>
            <w:pPr>
              <w:ind w:firstLine="420"/>
              <w:jc w:val="center"/>
              <w:rPr>
                <w:rFonts w:hint="default"/>
                <w:szCs w:val="22"/>
                <w:lang w:val="en-US" w:eastAsia="zh-CN"/>
              </w:rPr>
            </w:pPr>
          </w:p>
        </w:tc>
        <w:tc>
          <w:tcPr>
            <w:tcW w:w="1213" w:type="dxa"/>
          </w:tcPr>
          <w:p/>
          <w:p>
            <w:pPr>
              <w:pStyle w:val="2"/>
            </w:pPr>
          </w:p>
          <w:p/>
          <w:p>
            <w:pPr>
              <w:pStyle w:val="2"/>
            </w:pPr>
          </w:p>
          <w:p/>
          <w:p>
            <w:pPr>
              <w:pStyle w:val="2"/>
            </w:pPr>
          </w:p>
          <w:p/>
          <w:p>
            <w:pPr>
              <w:pStyle w:val="2"/>
            </w:pPr>
          </w:p>
          <w:p/>
          <w:p>
            <w:pPr>
              <w:pStyle w:val="2"/>
            </w:pPr>
          </w:p>
          <w:p/>
          <w:p>
            <w:pPr>
              <w:pStyle w:val="2"/>
            </w:pPr>
          </w:p>
          <w:p/>
          <w:p>
            <w:pPr>
              <w:pStyle w:val="2"/>
            </w:pPr>
          </w:p>
          <w:p>
            <w:pPr>
              <w:rPr>
                <w:rFonts w:hint="eastAsia" w:eastAsia="宋体"/>
                <w:lang w:val="en-US" w:eastAsia="zh-CN"/>
              </w:rPr>
            </w:pPr>
            <w:r>
              <w:rPr>
                <w:rFonts w:hint="eastAsia"/>
                <w:color w:val="FF0000"/>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r>
              <w:rPr>
                <w:rFonts w:hint="eastAsia" w:ascii="宋体" w:hAnsi="宋体" w:eastAsia="宋体" w:cs="Times New Roman"/>
                <w:sz w:val="21"/>
                <w:szCs w:val="21"/>
              </w:rPr>
              <w:t>2.</w:t>
            </w:r>
            <w:r>
              <w:rPr>
                <w:rFonts w:hint="eastAsia" w:ascii="宋体" w:hAnsi="宋体" w:eastAsia="宋体" w:cs="Times New Roman"/>
                <w:sz w:val="21"/>
                <w:szCs w:val="21"/>
                <w:lang w:val="en-US" w:eastAsia="zh-CN"/>
              </w:rPr>
              <w:t>查员工</w:t>
            </w:r>
            <w:r>
              <w:rPr>
                <w:rFonts w:hint="eastAsia" w:ascii="宋体" w:hAnsi="宋体" w:eastAsia="宋体" w:cs="Times New Roman"/>
                <w:sz w:val="21"/>
                <w:szCs w:val="21"/>
              </w:rPr>
              <w:t>的能力、意识及培训策划与实施</w:t>
            </w:r>
            <w:r>
              <w:rPr>
                <w:rFonts w:hint="eastAsia" w:ascii="宋体" w:hAnsi="宋体" w:eastAsia="宋体" w:cs="Times New Roman"/>
                <w:sz w:val="21"/>
                <w:szCs w:val="21"/>
                <w:lang w:val="en-US" w:eastAsia="zh-CN"/>
              </w:rPr>
              <w:t>效果</w:t>
            </w:r>
            <w:r>
              <w:rPr>
                <w:rFonts w:hint="eastAsia" w:ascii="宋体" w:hAnsi="宋体" w:cs="Times New Roman"/>
                <w:sz w:val="21"/>
                <w:szCs w:val="21"/>
                <w:lang w:val="en-US" w:eastAsia="zh-CN"/>
              </w:rPr>
              <w:t>，沟通</w:t>
            </w:r>
            <w:r>
              <w:rPr>
                <w:rFonts w:hint="eastAsia" w:ascii="宋体" w:hAnsi="宋体" w:eastAsia="宋体" w:cs="Times New Roman"/>
                <w:sz w:val="21"/>
                <w:szCs w:val="21"/>
                <w:lang w:eastAsia="zh-CN"/>
              </w:rPr>
              <w:t>；</w:t>
            </w:r>
          </w:p>
        </w:tc>
        <w:tc>
          <w:tcPr>
            <w:tcW w:w="960" w:type="dxa"/>
          </w:tcPr>
          <w:p>
            <w:pPr>
              <w:rPr>
                <w:rFonts w:hint="eastAsia"/>
              </w:rPr>
            </w:pPr>
            <w:r>
              <w:rPr>
                <w:rFonts w:hint="eastAsia"/>
              </w:rPr>
              <w:t>7.2</w:t>
            </w:r>
            <w:r>
              <w:rPr>
                <w:rFonts w:hint="eastAsia"/>
                <w:lang w:val="en-US" w:eastAsia="zh-CN"/>
              </w:rPr>
              <w:t>/</w:t>
            </w:r>
            <w:r>
              <w:rPr>
                <w:rFonts w:hint="eastAsia"/>
              </w:rPr>
              <w:t>7.3</w:t>
            </w:r>
          </w:p>
          <w:p>
            <w:pPr>
              <w:pStyle w:val="2"/>
              <w:ind w:left="0" w:leftChars="0" w:firstLine="0" w:firstLineChars="0"/>
              <w:rPr>
                <w:rFonts w:hint="default" w:eastAsia="宋体"/>
                <w:lang w:val="en-US" w:eastAsia="zh-CN"/>
              </w:rPr>
            </w:pPr>
            <w:r>
              <w:rPr>
                <w:rFonts w:hint="eastAsia" w:ascii="宋体" w:hAnsi="宋体" w:cs="Times New Roman"/>
                <w:sz w:val="21"/>
                <w:szCs w:val="21"/>
                <w:lang w:val="en-US" w:eastAsia="zh-CN"/>
              </w:rPr>
              <w:t>7.4</w:t>
            </w:r>
          </w:p>
        </w:tc>
        <w:tc>
          <w:tcPr>
            <w:tcW w:w="10376" w:type="dxa"/>
          </w:tcPr>
          <w:p>
            <w:pPr>
              <w:ind w:firstLine="420"/>
              <w:rPr>
                <w:rFonts w:hint="eastAsia" w:ascii="宋体" w:hAnsi="宋体" w:eastAsia="宋体" w:cs="Times New Roman"/>
                <w:sz w:val="21"/>
                <w:szCs w:val="21"/>
              </w:rPr>
            </w:pPr>
            <w:r>
              <w:rPr>
                <w:rFonts w:hint="eastAsia" w:ascii="宋体" w:hAnsi="宋体" w:eastAsia="宋体" w:cs="Times New Roman"/>
                <w:sz w:val="21"/>
                <w:szCs w:val="21"/>
              </w:rPr>
              <w:t>策划编制有</w:t>
            </w:r>
            <w:r>
              <w:rPr>
                <w:rFonts w:hint="eastAsia"/>
                <w:lang w:val="en-US" w:eastAsia="zh-CN"/>
              </w:rPr>
              <w:t>《职工教育培训管理办法》</w:t>
            </w:r>
            <w:r>
              <w:rPr>
                <w:rFonts w:hint="eastAsia" w:ascii="宋体" w:hAnsi="宋体" w:cs="Times New Roman"/>
                <w:sz w:val="21"/>
                <w:szCs w:val="21"/>
                <w:lang w:eastAsia="zh-CN"/>
              </w:rPr>
              <w:t>，</w:t>
            </w:r>
            <w:r>
              <w:rPr>
                <w:rFonts w:hint="eastAsia" w:ascii="宋体" w:hAnsi="宋体" w:cs="Times New Roman"/>
                <w:sz w:val="21"/>
                <w:szCs w:val="21"/>
                <w:lang w:val="en-US" w:eastAsia="zh-CN"/>
              </w:rPr>
              <w:t>并且在《能源手册》7.2、7.3、7.4条款中</w:t>
            </w:r>
            <w:r>
              <w:rPr>
                <w:rFonts w:hint="eastAsia" w:ascii="宋体" w:hAnsi="宋体" w:eastAsia="宋体" w:cs="Times New Roman"/>
                <w:sz w:val="21"/>
                <w:szCs w:val="21"/>
              </w:rPr>
              <w:t>内容规定了人力资源部应组织确定与能源绩效和能源管理体系具有影响的人员必备的基本能力要求。</w:t>
            </w:r>
          </w:p>
          <w:p>
            <w:pPr>
              <w:ind w:firstLine="420"/>
              <w:rPr>
                <w:rFonts w:hint="eastAsia" w:ascii="宋体" w:hAnsi="宋体" w:eastAsia="宋体" w:cs="Times New Roman"/>
                <w:sz w:val="21"/>
                <w:szCs w:val="21"/>
              </w:rPr>
            </w:pPr>
            <w:r>
              <w:rPr>
                <w:rFonts w:hint="eastAsia" w:ascii="宋体" w:hAnsi="宋体" w:eastAsia="宋体" w:cs="Times New Roman"/>
                <w:sz w:val="21"/>
                <w:szCs w:val="21"/>
              </w:rPr>
              <w:t>各部门确定岗位相适应的任职条件（包括专业技能、所承受的培训及取得的岗位资格、能力、工作经历），并按照岗位要求的任职条件配备相应的人员。特种作业人员等应按照国家法律、法规要求持证上岗。能力要求：</w:t>
            </w:r>
          </w:p>
          <w:p>
            <w:pPr>
              <w:ind w:firstLine="420"/>
              <w:rPr>
                <w:rFonts w:hint="eastAsia" w:ascii="宋体" w:hAnsi="宋体" w:eastAsia="宋体" w:cs="Times New Roman"/>
                <w:sz w:val="21"/>
                <w:szCs w:val="21"/>
              </w:rPr>
            </w:pPr>
            <w:r>
              <w:rPr>
                <w:rFonts w:hint="eastAsia" w:ascii="宋体" w:hAnsi="宋体" w:eastAsia="宋体" w:cs="Times New Roman"/>
                <w:sz w:val="21"/>
                <w:szCs w:val="21"/>
              </w:rPr>
              <w:t>a) 承担管理体系规定职责的人员应是具备相应的能力，人力资源部考虑教育、培训、技能和经历方面的因素，公司确定各级人员岗位要求并予以安排；</w:t>
            </w:r>
          </w:p>
          <w:p>
            <w:pPr>
              <w:ind w:firstLine="420"/>
              <w:rPr>
                <w:rFonts w:hint="eastAsia" w:ascii="宋体" w:hAnsi="宋体" w:eastAsia="宋体" w:cs="Times New Roman"/>
                <w:sz w:val="21"/>
                <w:szCs w:val="21"/>
              </w:rPr>
            </w:pPr>
            <w:r>
              <w:rPr>
                <w:rFonts w:hint="eastAsia" w:ascii="宋体" w:hAnsi="宋体" w:eastAsia="宋体" w:cs="Times New Roman"/>
                <w:sz w:val="21"/>
                <w:szCs w:val="21"/>
              </w:rPr>
              <w:t>b) 对员工应具备的条件及应完成的工作进行规定和安排，并按年度进行评价；</w:t>
            </w:r>
          </w:p>
          <w:p>
            <w:pPr>
              <w:ind w:firstLine="420"/>
              <w:rPr>
                <w:rFonts w:hint="eastAsia" w:ascii="宋体" w:hAnsi="宋体" w:eastAsia="宋体" w:cs="Times New Roman"/>
                <w:sz w:val="21"/>
                <w:szCs w:val="21"/>
              </w:rPr>
            </w:pPr>
            <w:r>
              <w:rPr>
                <w:rFonts w:hint="eastAsia" w:ascii="宋体" w:hAnsi="宋体" w:eastAsia="宋体" w:cs="Times New Roman"/>
                <w:sz w:val="21"/>
                <w:szCs w:val="21"/>
              </w:rPr>
              <w:t>c) 重要岗位人员应持证上岗，并且对其进行动态管理。</w:t>
            </w:r>
          </w:p>
          <w:p>
            <w:pPr>
              <w:ind w:firstLine="420"/>
              <w:rPr>
                <w:rFonts w:hint="eastAsia" w:ascii="宋体" w:hAnsi="宋体" w:eastAsia="宋体" w:cs="Times New Roman"/>
                <w:sz w:val="21"/>
                <w:szCs w:val="21"/>
              </w:rPr>
            </w:pPr>
            <w:r>
              <w:rPr>
                <w:rFonts w:hint="eastAsia" w:ascii="宋体" w:hAnsi="宋体" w:eastAsia="宋体" w:cs="Times New Roman"/>
                <w:sz w:val="21"/>
                <w:szCs w:val="21"/>
              </w:rPr>
              <w:t>人力资源部定期对员工绩效进行考核，并根据考核结果改进人力资源管理工作。</w:t>
            </w:r>
          </w:p>
          <w:p>
            <w:pPr>
              <w:ind w:firstLine="420"/>
              <w:rPr>
                <w:rFonts w:hint="eastAsia" w:ascii="宋体" w:hAnsi="宋体" w:eastAsia="宋体" w:cs="Times New Roman"/>
                <w:sz w:val="21"/>
                <w:szCs w:val="21"/>
                <w:lang w:val="en-US" w:eastAsia="zh-CN"/>
              </w:rPr>
            </w:pPr>
            <w:r>
              <w:rPr>
                <w:rFonts w:hint="eastAsia" w:ascii="宋体" w:hAnsi="宋体" w:cs="Times New Roman"/>
                <w:sz w:val="21"/>
                <w:szCs w:val="21"/>
                <w:lang w:val="en-US" w:eastAsia="zh-CN"/>
              </w:rPr>
              <w:t>在</w:t>
            </w:r>
            <w:r>
              <w:rPr>
                <w:rFonts w:hint="eastAsia" w:ascii="宋体" w:hAnsi="宋体" w:eastAsia="宋体" w:cs="Times New Roman"/>
                <w:sz w:val="21"/>
                <w:szCs w:val="21"/>
              </w:rPr>
              <w:t>意识</w:t>
            </w:r>
            <w:r>
              <w:rPr>
                <w:rFonts w:hint="eastAsia" w:ascii="宋体" w:hAnsi="宋体" w:cs="Times New Roman"/>
                <w:sz w:val="21"/>
                <w:szCs w:val="21"/>
                <w:lang w:val="en-US" w:eastAsia="zh-CN"/>
              </w:rPr>
              <w:t>方面：</w:t>
            </w:r>
          </w:p>
          <w:p>
            <w:pPr>
              <w:ind w:firstLine="420"/>
              <w:rPr>
                <w:rFonts w:hint="eastAsia" w:ascii="宋体" w:hAnsi="宋体" w:eastAsia="宋体" w:cs="Times New Roman"/>
                <w:sz w:val="21"/>
                <w:szCs w:val="21"/>
              </w:rPr>
            </w:pPr>
            <w:r>
              <w:rPr>
                <w:rFonts w:hint="eastAsia" w:ascii="宋体" w:hAnsi="宋体" w:eastAsia="宋体" w:cs="Times New Roman"/>
                <w:sz w:val="21"/>
                <w:szCs w:val="21"/>
              </w:rPr>
              <w:t>通过培训等活动应使相关职能和层次员工具备如下意识：</w:t>
            </w:r>
          </w:p>
          <w:p>
            <w:pPr>
              <w:ind w:firstLine="420"/>
              <w:rPr>
                <w:rFonts w:hint="eastAsia" w:ascii="宋体" w:hAnsi="宋体" w:eastAsia="宋体" w:cs="Times New Roman"/>
                <w:sz w:val="21"/>
                <w:szCs w:val="21"/>
              </w:rPr>
            </w:pPr>
            <w:r>
              <w:rPr>
                <w:rFonts w:hint="eastAsia" w:ascii="宋体" w:hAnsi="宋体" w:eastAsia="宋体" w:cs="Times New Roman"/>
                <w:sz w:val="21"/>
                <w:szCs w:val="21"/>
              </w:rPr>
              <w:t>a) 符合能源方针和程序以及能源管理体系要求的重要性，了解作业活动中的能源绩效参数，以及改进个人行为所带来的能源绩效，从而提升工作质量；</w:t>
            </w:r>
          </w:p>
          <w:p>
            <w:pPr>
              <w:ind w:firstLine="420"/>
              <w:rPr>
                <w:rFonts w:hint="eastAsia" w:ascii="宋体" w:hAnsi="宋体" w:eastAsia="宋体" w:cs="Times New Roman"/>
                <w:sz w:val="21"/>
                <w:szCs w:val="21"/>
              </w:rPr>
            </w:pPr>
            <w:r>
              <w:rPr>
                <w:rFonts w:hint="eastAsia" w:ascii="宋体" w:hAnsi="宋体" w:eastAsia="宋体" w:cs="Times New Roman"/>
                <w:sz w:val="21"/>
                <w:szCs w:val="21"/>
              </w:rPr>
              <w:t>b) 偏离规定的运行程序的潜在后果。。</w:t>
            </w:r>
          </w:p>
          <w:p>
            <w:pPr>
              <w:ind w:firstLine="420" w:firstLineChars="200"/>
              <w:rPr>
                <w:rFonts w:hint="eastAsia" w:ascii="宋体" w:hAnsi="宋体" w:cs="Times New Roman"/>
                <w:sz w:val="21"/>
                <w:szCs w:val="21"/>
                <w:lang w:val="en-US" w:eastAsia="zh-CN"/>
              </w:rPr>
            </w:pPr>
            <w:r>
              <w:rPr>
                <w:rFonts w:hint="eastAsia" w:ascii="宋体" w:hAnsi="宋体" w:cs="Times New Roman"/>
                <w:sz w:val="21"/>
                <w:szCs w:val="21"/>
                <w:lang w:val="en-US" w:eastAsia="zh-CN"/>
              </w:rPr>
              <w:t>在沟通方面：</w:t>
            </w:r>
          </w:p>
          <w:p>
            <w:pPr>
              <w:ind w:firstLine="420" w:firstLineChars="200"/>
              <w:rPr>
                <w:rFonts w:hint="eastAsia" w:ascii="宋体" w:hAnsi="宋体" w:eastAsia="宋体" w:cs="Times New Roman"/>
                <w:sz w:val="21"/>
                <w:szCs w:val="21"/>
              </w:rPr>
            </w:pPr>
            <w:r>
              <w:rPr>
                <w:rFonts w:hint="eastAsia" w:ascii="宋体" w:hAnsi="宋体" w:eastAsia="宋体" w:cs="Times New Roman"/>
                <w:sz w:val="21"/>
                <w:szCs w:val="21"/>
              </w:rPr>
              <w:t>公司建立、实施并保持《内外部交流控制程序》，以建立并保持与员工、相关方交流沟通，确保能源管理体系的有效运行。</w:t>
            </w:r>
          </w:p>
          <w:p>
            <w:pPr>
              <w:ind w:firstLine="420" w:firstLineChars="200"/>
              <w:rPr>
                <w:rFonts w:hint="eastAsia" w:ascii="宋体" w:hAnsi="宋体" w:eastAsia="宋体" w:cs="Times New Roman"/>
                <w:sz w:val="21"/>
                <w:szCs w:val="21"/>
              </w:rPr>
            </w:pPr>
            <w:r>
              <w:rPr>
                <w:rFonts w:hint="eastAsia" w:ascii="宋体" w:hAnsi="宋体" w:cs="Times New Roman"/>
                <w:sz w:val="21"/>
                <w:szCs w:val="21"/>
                <w:lang w:val="en-US" w:eastAsia="zh-CN"/>
              </w:rPr>
              <w:t>本部们</w:t>
            </w:r>
            <w:r>
              <w:rPr>
                <w:rFonts w:hint="eastAsia" w:ascii="宋体" w:hAnsi="宋体" w:eastAsia="宋体" w:cs="Times New Roman"/>
                <w:sz w:val="21"/>
                <w:szCs w:val="21"/>
              </w:rPr>
              <w:t>负责组织并协调各部门就公司内外的能源方面的信息交流与沟通，并致力于下列目的实现：</w:t>
            </w:r>
          </w:p>
          <w:p>
            <w:pPr>
              <w:ind w:firstLine="420" w:firstLineChars="200"/>
              <w:rPr>
                <w:rFonts w:hint="eastAsia" w:ascii="宋体" w:hAnsi="宋体" w:eastAsia="宋体" w:cs="Times New Roman"/>
                <w:sz w:val="21"/>
                <w:szCs w:val="21"/>
              </w:rPr>
            </w:pPr>
            <w:r>
              <w:rPr>
                <w:rFonts w:hint="eastAsia" w:ascii="宋体" w:hAnsi="宋体" w:eastAsia="宋体" w:cs="Times New Roman"/>
                <w:sz w:val="21"/>
                <w:szCs w:val="21"/>
              </w:rPr>
              <w:t xml:space="preserve">a）交流信息，增进理解； </w:t>
            </w:r>
          </w:p>
          <w:p>
            <w:pPr>
              <w:ind w:firstLine="420" w:firstLineChars="200"/>
              <w:rPr>
                <w:rFonts w:hint="eastAsia" w:ascii="宋体" w:hAnsi="宋体" w:eastAsia="宋体" w:cs="Times New Roman"/>
                <w:sz w:val="21"/>
                <w:szCs w:val="21"/>
              </w:rPr>
            </w:pPr>
            <w:r>
              <w:rPr>
                <w:rFonts w:hint="eastAsia" w:ascii="宋体" w:hAnsi="宋体" w:eastAsia="宋体" w:cs="Times New Roman"/>
                <w:sz w:val="21"/>
                <w:szCs w:val="21"/>
              </w:rPr>
              <w:t xml:space="preserve">b）形成共识，协调行动； </w:t>
            </w:r>
          </w:p>
          <w:p>
            <w:pPr>
              <w:ind w:firstLine="420" w:firstLineChars="200"/>
              <w:rPr>
                <w:rFonts w:hint="eastAsia" w:ascii="宋体" w:hAnsi="宋体" w:eastAsia="宋体" w:cs="Times New Roman"/>
                <w:sz w:val="21"/>
                <w:szCs w:val="21"/>
              </w:rPr>
            </w:pPr>
            <w:r>
              <w:rPr>
                <w:rFonts w:hint="eastAsia" w:ascii="宋体" w:hAnsi="宋体" w:eastAsia="宋体" w:cs="Times New Roman"/>
                <w:sz w:val="21"/>
                <w:szCs w:val="21"/>
              </w:rPr>
              <w:t>c）促进人员充分参与；</w:t>
            </w:r>
          </w:p>
          <w:p>
            <w:pPr>
              <w:ind w:firstLine="420" w:firstLineChars="200"/>
              <w:rPr>
                <w:rFonts w:hint="eastAsia" w:ascii="宋体" w:hAnsi="宋体" w:eastAsia="宋体" w:cs="Times New Roman"/>
                <w:sz w:val="21"/>
                <w:szCs w:val="21"/>
              </w:rPr>
            </w:pPr>
            <w:r>
              <w:rPr>
                <w:rFonts w:hint="eastAsia" w:ascii="宋体" w:hAnsi="宋体" w:eastAsia="宋体" w:cs="Times New Roman"/>
                <w:sz w:val="21"/>
                <w:szCs w:val="21"/>
              </w:rPr>
              <w:t>d）促进持续改进。</w:t>
            </w:r>
          </w:p>
          <w:p>
            <w:pPr>
              <w:ind w:firstLine="420" w:firstLineChars="200"/>
              <w:rPr>
                <w:rFonts w:hint="eastAsia" w:ascii="宋体" w:hAnsi="宋体" w:eastAsia="宋体" w:cs="Times New Roman"/>
                <w:sz w:val="21"/>
                <w:szCs w:val="21"/>
              </w:rPr>
            </w:pPr>
            <w:r>
              <w:rPr>
                <w:rFonts w:hint="eastAsia" w:ascii="宋体" w:hAnsi="宋体" w:eastAsia="宋体" w:cs="Times New Roman"/>
                <w:sz w:val="21"/>
                <w:szCs w:val="21"/>
              </w:rPr>
              <w:t>沟通内容涉及管理体系有效性的各方面，如：</w:t>
            </w:r>
          </w:p>
          <w:p>
            <w:pPr>
              <w:ind w:firstLine="420" w:firstLineChars="200"/>
              <w:rPr>
                <w:rFonts w:hint="eastAsia" w:ascii="宋体" w:hAnsi="宋体" w:eastAsia="宋体" w:cs="Times New Roman"/>
                <w:sz w:val="21"/>
                <w:szCs w:val="21"/>
              </w:rPr>
            </w:pPr>
            <w:r>
              <w:rPr>
                <w:rFonts w:hint="eastAsia" w:ascii="宋体" w:hAnsi="宋体" w:eastAsia="宋体" w:cs="Times New Roman"/>
                <w:sz w:val="21"/>
                <w:szCs w:val="21"/>
              </w:rPr>
              <w:t>a）外部信息：外部相关方要求、意见、法律法规类要求等；</w:t>
            </w:r>
          </w:p>
          <w:p>
            <w:pPr>
              <w:ind w:firstLine="420" w:firstLineChars="200"/>
              <w:rPr>
                <w:rFonts w:hint="eastAsia" w:ascii="宋体" w:hAnsi="宋体" w:eastAsia="宋体" w:cs="Times New Roman"/>
                <w:sz w:val="21"/>
                <w:szCs w:val="21"/>
              </w:rPr>
            </w:pPr>
            <w:r>
              <w:rPr>
                <w:rFonts w:hint="eastAsia" w:ascii="宋体" w:hAnsi="宋体" w:eastAsia="宋体" w:cs="Times New Roman"/>
                <w:sz w:val="21"/>
                <w:szCs w:val="21"/>
              </w:rPr>
              <w:t>b）内部信息：方针、目标、指标的实现情况、监视和测量的结果等。</w:t>
            </w:r>
          </w:p>
          <w:p>
            <w:pPr>
              <w:ind w:firstLine="420" w:firstLineChars="200"/>
              <w:rPr>
                <w:rFonts w:hint="eastAsia" w:ascii="宋体" w:hAnsi="宋体" w:eastAsia="宋体" w:cs="Times New Roman"/>
                <w:sz w:val="21"/>
                <w:szCs w:val="21"/>
              </w:rPr>
            </w:pPr>
            <w:r>
              <w:rPr>
                <w:rFonts w:hint="eastAsia" w:ascii="宋体" w:hAnsi="宋体" w:eastAsia="宋体" w:cs="Times New Roman"/>
                <w:sz w:val="21"/>
                <w:szCs w:val="21"/>
              </w:rPr>
              <w:t>信息的沟通方式主要有：文件、会议、宣传栏、计算机网络、报表等形式。</w:t>
            </w:r>
          </w:p>
          <w:p>
            <w:pPr>
              <w:ind w:firstLine="420" w:firstLineChars="200"/>
              <w:rPr>
                <w:rFonts w:hint="eastAsia" w:ascii="宋体" w:hAnsi="宋体" w:cs="Times New Roman"/>
                <w:sz w:val="21"/>
                <w:szCs w:val="21"/>
                <w:lang w:val="en-US" w:eastAsia="zh-CN"/>
              </w:rPr>
            </w:pPr>
            <w:r>
              <w:rPr>
                <w:rFonts w:hint="eastAsia" w:ascii="宋体" w:hAnsi="宋体" w:cs="Times New Roman"/>
                <w:sz w:val="21"/>
                <w:szCs w:val="21"/>
                <w:lang w:val="en-US" w:eastAsia="zh-CN"/>
              </w:rPr>
              <w:t>目前本部门没有发生有上述的问题。</w:t>
            </w:r>
          </w:p>
          <w:p>
            <w:pPr>
              <w:ind w:firstLine="420" w:firstLineChars="200"/>
              <w:rPr>
                <w:rFonts w:hint="eastAsia" w:ascii="宋体" w:hAnsi="宋体" w:cs="Times New Roman"/>
                <w:sz w:val="21"/>
                <w:szCs w:val="21"/>
                <w:lang w:val="en-US" w:eastAsia="zh-CN"/>
              </w:rPr>
            </w:pPr>
            <w:r>
              <w:rPr>
                <w:rFonts w:hint="eastAsia" w:ascii="宋体" w:hAnsi="宋体" w:cs="Times New Roman"/>
                <w:sz w:val="21"/>
                <w:szCs w:val="21"/>
                <w:lang w:val="en-US" w:eastAsia="zh-CN"/>
              </w:rPr>
              <w:t>提供《2021年度职工教育培训需求计划表》</w:t>
            </w:r>
          </w:p>
          <w:p>
            <w:pPr>
              <w:ind w:firstLine="420" w:firstLineChars="200"/>
              <w:rPr>
                <w:rFonts w:hint="eastAsia" w:ascii="宋体" w:hAnsi="宋体" w:eastAsia="宋体" w:cs="Times New Roman"/>
                <w:sz w:val="21"/>
                <w:szCs w:val="21"/>
              </w:rPr>
            </w:pPr>
            <w:r>
              <w:rPr>
                <w:rFonts w:hint="eastAsia" w:ascii="宋体" w:hAnsi="宋体" w:eastAsia="宋体" w:cs="Times New Roman"/>
                <w:sz w:val="21"/>
                <w:szCs w:val="21"/>
              </w:rPr>
              <w:t xml:space="preserve">  </w:t>
            </w:r>
            <w:r>
              <w:drawing>
                <wp:inline distT="0" distB="0" distL="114300" distR="114300">
                  <wp:extent cx="6390005" cy="4634865"/>
                  <wp:effectExtent l="0" t="0" r="3175" b="57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6390005" cy="4634865"/>
                          </a:xfrm>
                          <a:prstGeom prst="rect">
                            <a:avLst/>
                          </a:prstGeom>
                          <a:noFill/>
                          <a:ln>
                            <a:noFill/>
                          </a:ln>
                        </pic:spPr>
                      </pic:pic>
                    </a:graphicData>
                  </a:graphic>
                </wp:inline>
              </w:drawing>
            </w:r>
          </w:p>
          <w:p>
            <w:pPr>
              <w:pStyle w:val="2"/>
              <w:rPr>
                <w:rFonts w:hint="eastAsia" w:ascii="宋体" w:hAnsi="宋体" w:eastAsia="宋体" w:cs="Times New Roman"/>
                <w:sz w:val="21"/>
                <w:szCs w:val="21"/>
              </w:rPr>
            </w:pPr>
          </w:p>
          <w:p>
            <w:pPr>
              <w:ind w:firstLine="420" w:firstLineChars="200"/>
              <w:rPr>
                <w:rFonts w:hint="eastAsia" w:ascii="宋体" w:hAnsi="宋体" w:cs="Times New Roman"/>
                <w:sz w:val="21"/>
                <w:szCs w:val="21"/>
                <w:lang w:val="en-US" w:eastAsia="zh-CN"/>
              </w:rPr>
            </w:pPr>
            <w:r>
              <w:rPr>
                <w:rFonts w:hint="eastAsia" w:ascii="宋体" w:hAnsi="宋体" w:cs="Times New Roman"/>
                <w:sz w:val="21"/>
                <w:szCs w:val="21"/>
                <w:lang w:val="en-US" w:eastAsia="zh-CN"/>
              </w:rPr>
              <w:t>1、抽查：</w:t>
            </w:r>
          </w:p>
          <w:p>
            <w:pPr>
              <w:pStyle w:val="2"/>
              <w:rPr>
                <w:rFonts w:hint="default"/>
                <w:lang w:val="en-US" w:eastAsia="zh-CN"/>
              </w:rPr>
            </w:pPr>
            <w:r>
              <w:rPr>
                <w:rFonts w:hint="eastAsia"/>
                <w:lang w:val="en-US" w:eastAsia="zh-CN"/>
              </w:rPr>
              <w:t>2021年1月，人数：40人，学时：20，对</w:t>
            </w:r>
            <w:r>
              <w:rPr>
                <w:rFonts w:hint="default"/>
                <w:lang w:val="en-US" w:eastAsia="zh-CN"/>
              </w:rPr>
              <w:t>一般技管人员</w:t>
            </w:r>
            <w:r>
              <w:rPr>
                <w:rFonts w:hint="eastAsia"/>
                <w:lang w:val="en-US" w:eastAsia="zh-CN"/>
              </w:rPr>
              <w:t>，</w:t>
            </w:r>
            <w:r>
              <w:rPr>
                <w:rFonts w:hint="default"/>
                <w:lang w:val="en-US" w:eastAsia="zh-CN"/>
              </w:rPr>
              <w:t>班、组长</w:t>
            </w:r>
            <w:r>
              <w:rPr>
                <w:rFonts w:hint="eastAsia"/>
                <w:lang w:val="en-US" w:eastAsia="zh-CN"/>
              </w:rPr>
              <w:t>，进行</w:t>
            </w:r>
            <w:r>
              <w:rPr>
                <w:rFonts w:hint="default"/>
                <w:lang w:val="en-US" w:eastAsia="zh-CN"/>
              </w:rPr>
              <w:t>GB/T23331-2020、ISO50001-2018</w:t>
            </w:r>
          </w:p>
          <w:p>
            <w:pPr>
              <w:pStyle w:val="2"/>
              <w:ind w:left="0" w:leftChars="0" w:firstLine="0" w:firstLineChars="0"/>
              <w:rPr>
                <w:rFonts w:hint="default"/>
                <w:lang w:val="en-US" w:eastAsia="zh-CN"/>
              </w:rPr>
            </w:pPr>
            <w:r>
              <w:rPr>
                <w:rFonts w:hint="eastAsia"/>
                <w:lang w:val="en-US" w:eastAsia="zh-CN"/>
              </w:rPr>
              <w:t>《</w:t>
            </w:r>
            <w:r>
              <w:rPr>
                <w:rFonts w:hint="default"/>
                <w:lang w:val="en-US" w:eastAsia="zh-CN"/>
              </w:rPr>
              <w:t>能源管理体系</w:t>
            </w:r>
            <w:r>
              <w:rPr>
                <w:rFonts w:hint="eastAsia"/>
                <w:lang w:val="en-US" w:eastAsia="zh-CN"/>
              </w:rPr>
              <w:t xml:space="preserve">  要求及实业指南》</w:t>
            </w:r>
            <w:r>
              <w:rPr>
                <w:rFonts w:hint="default"/>
                <w:lang w:val="en-US" w:eastAsia="zh-CN"/>
              </w:rPr>
              <w:t>帮助员工全面系统的掌握能源管理体系标准的内容，掌握和运用能源管理新知识、新技术，增加工作效率。</w:t>
            </w:r>
            <w:r>
              <w:rPr>
                <w:rFonts w:hint="eastAsia"/>
                <w:lang w:val="en-US" w:eastAsia="zh-CN"/>
              </w:rPr>
              <w:t>有理论授课，符合标准要求与培训实际。</w:t>
            </w:r>
          </w:p>
          <w:p>
            <w:pPr>
              <w:numPr>
                <w:ilvl w:val="0"/>
                <w:numId w:val="1"/>
              </w:numPr>
              <w:ind w:left="420" w:leftChars="0" w:firstLine="0" w:firstLineChars="0"/>
              <w:rPr>
                <w:rFonts w:hint="eastAsia" w:ascii="宋体" w:hAnsi="宋体" w:cs="Times New Roman"/>
                <w:sz w:val="21"/>
                <w:szCs w:val="21"/>
                <w:lang w:val="en-US" w:eastAsia="zh-CN"/>
              </w:rPr>
            </w:pPr>
            <w:r>
              <w:rPr>
                <w:rFonts w:hint="eastAsia" w:ascii="宋体" w:hAnsi="宋体" w:cs="Times New Roman"/>
                <w:sz w:val="21"/>
                <w:szCs w:val="21"/>
                <w:lang w:val="en-US" w:eastAsia="zh-CN"/>
              </w:rPr>
              <w:t>抽查《 河北钢铁集团矿业有限公司石人沟铁矿（单位全称）特殊工种名录规范表》</w:t>
            </w:r>
          </w:p>
          <w:p>
            <w:pPr>
              <w:pStyle w:val="2"/>
              <w:numPr>
                <w:numId w:val="0"/>
              </w:numPr>
              <w:ind w:left="420" w:leftChars="0"/>
              <w:rPr>
                <w:rFonts w:hint="default"/>
                <w:lang w:val="en-US" w:eastAsia="zh-CN"/>
              </w:rPr>
            </w:pPr>
            <w:r>
              <w:drawing>
                <wp:inline distT="0" distB="0" distL="114300" distR="114300">
                  <wp:extent cx="5329555" cy="3448050"/>
                  <wp:effectExtent l="0" t="0" r="4445" b="381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5329555" cy="3448050"/>
                          </a:xfrm>
                          <a:prstGeom prst="rect">
                            <a:avLst/>
                          </a:prstGeom>
                          <a:noFill/>
                          <a:ln>
                            <a:noFill/>
                          </a:ln>
                        </pic:spPr>
                      </pic:pic>
                    </a:graphicData>
                  </a:graphic>
                </wp:inline>
              </w:drawing>
            </w:r>
          </w:p>
          <w:p>
            <w:pPr>
              <w:ind w:firstLine="210" w:firstLineChars="100"/>
              <w:rPr>
                <w:rFonts w:hint="eastAsia" w:ascii="宋体" w:hAnsi="宋体" w:cs="Times New Roman"/>
                <w:sz w:val="21"/>
                <w:szCs w:val="21"/>
                <w:lang w:val="en-US" w:eastAsia="zh-CN"/>
              </w:rPr>
            </w:pPr>
            <w:r>
              <w:rPr>
                <w:rFonts w:hint="eastAsia" w:ascii="宋体" w:hAnsi="宋体" w:cs="Times New Roman"/>
                <w:sz w:val="21"/>
                <w:szCs w:val="21"/>
                <w:lang w:val="en-US" w:eastAsia="zh-CN"/>
              </w:rPr>
              <w:t xml:space="preserve">等等符合要求。 </w:t>
            </w:r>
          </w:p>
          <w:p>
            <w:pPr>
              <w:pStyle w:val="2"/>
              <w:rPr>
                <w:rFonts w:hint="eastAsia" w:ascii="宋体" w:hAnsi="宋体" w:cs="Times New Roman"/>
                <w:sz w:val="21"/>
                <w:szCs w:val="21"/>
                <w:lang w:val="en-US" w:eastAsia="zh-CN"/>
              </w:rPr>
            </w:pPr>
          </w:p>
          <w:p>
            <w:pPr>
              <w:rPr>
                <w:rFonts w:hint="default" w:ascii="宋体" w:hAnsi="宋体" w:cs="Times New Roman"/>
                <w:sz w:val="21"/>
                <w:szCs w:val="21"/>
                <w:lang w:val="en-US" w:eastAsia="zh-CN"/>
              </w:rPr>
            </w:pPr>
            <w:r>
              <w:rPr>
                <w:rFonts w:hint="eastAsia" w:ascii="宋体" w:hAnsi="宋体" w:cs="Times New Roman"/>
                <w:sz w:val="21"/>
                <w:szCs w:val="21"/>
                <w:lang w:val="en-US" w:eastAsia="zh-CN"/>
              </w:rPr>
              <w:t xml:space="preserve">  抽查特种作业人员资质：</w:t>
            </w:r>
          </w:p>
          <w:p>
            <w:pPr>
              <w:pStyle w:val="2"/>
              <w:rPr>
                <w:rFonts w:hint="default"/>
                <w:lang w:val="en-US" w:eastAsia="zh-CN"/>
              </w:rPr>
            </w:pPr>
          </w:p>
          <w:p>
            <w:pPr>
              <w:rPr>
                <w:rFonts w:hint="eastAsia" w:ascii="宋体" w:hAnsi="宋体" w:cs="Times New Roman"/>
                <w:sz w:val="21"/>
                <w:szCs w:val="21"/>
                <w:lang w:val="en-US" w:eastAsia="zh-CN"/>
              </w:rPr>
            </w:pPr>
            <w:r>
              <w:drawing>
                <wp:inline distT="0" distB="0" distL="114300" distR="114300">
                  <wp:extent cx="5086350" cy="2373630"/>
                  <wp:effectExtent l="0" t="0" r="3810" b="38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5086350" cy="2373630"/>
                          </a:xfrm>
                          <a:prstGeom prst="rect">
                            <a:avLst/>
                          </a:prstGeom>
                          <a:noFill/>
                          <a:ln>
                            <a:noFill/>
                          </a:ln>
                        </pic:spPr>
                      </pic:pic>
                    </a:graphicData>
                  </a:graphic>
                </wp:inline>
              </w:drawing>
            </w:r>
            <w:r>
              <w:rPr>
                <w:rFonts w:hint="eastAsia" w:ascii="宋体" w:hAnsi="宋体" w:cs="Times New Roman"/>
                <w:sz w:val="21"/>
                <w:szCs w:val="21"/>
                <w:lang w:val="en-US" w:eastAsia="zh-CN"/>
              </w:rPr>
              <w:tab/>
            </w:r>
            <w:r>
              <w:rPr>
                <w:rFonts w:hint="eastAsia" w:ascii="宋体" w:hAnsi="宋体" w:cs="Times New Roman"/>
                <w:sz w:val="21"/>
                <w:szCs w:val="21"/>
                <w:lang w:val="en-US" w:eastAsia="zh-CN"/>
              </w:rPr>
              <w:tab/>
            </w:r>
            <w:r>
              <w:rPr>
                <w:rFonts w:hint="eastAsia" w:ascii="宋体" w:hAnsi="宋体" w:cs="Times New Roman"/>
                <w:sz w:val="21"/>
                <w:szCs w:val="21"/>
                <w:lang w:val="en-US" w:eastAsia="zh-CN"/>
              </w:rPr>
              <w:tab/>
            </w:r>
            <w:r>
              <w:rPr>
                <w:rFonts w:hint="eastAsia" w:ascii="宋体" w:hAnsi="宋体" w:cs="Times New Roman"/>
                <w:sz w:val="21"/>
                <w:szCs w:val="21"/>
                <w:lang w:val="en-US" w:eastAsia="zh-CN"/>
              </w:rPr>
              <w:tab/>
            </w:r>
            <w:r>
              <w:rPr>
                <w:rFonts w:hint="eastAsia" w:ascii="宋体" w:hAnsi="宋体" w:cs="Times New Roman"/>
                <w:sz w:val="21"/>
                <w:szCs w:val="21"/>
                <w:lang w:val="en-US" w:eastAsia="zh-CN"/>
              </w:rPr>
              <w:tab/>
            </w:r>
            <w:r>
              <w:rPr>
                <w:rFonts w:hint="eastAsia" w:ascii="宋体" w:hAnsi="宋体" w:cs="Times New Roman"/>
                <w:sz w:val="21"/>
                <w:szCs w:val="21"/>
                <w:lang w:val="en-US" w:eastAsia="zh-CN"/>
              </w:rPr>
              <w:tab/>
            </w:r>
            <w:r>
              <w:rPr>
                <w:rFonts w:hint="eastAsia" w:ascii="宋体" w:hAnsi="宋体" w:cs="Times New Roman"/>
                <w:sz w:val="21"/>
                <w:szCs w:val="21"/>
                <w:lang w:val="en-US" w:eastAsia="zh-CN"/>
              </w:rPr>
              <w:t>符合法规要求。</w:t>
            </w:r>
            <w:r>
              <w:rPr>
                <w:rFonts w:hint="eastAsia" w:ascii="宋体" w:hAnsi="宋体" w:cs="Times New Roman"/>
                <w:sz w:val="21"/>
                <w:szCs w:val="21"/>
                <w:lang w:val="en-US" w:eastAsia="zh-CN"/>
              </w:rPr>
              <w:tab/>
            </w:r>
          </w:p>
          <w:p>
            <w:pPr>
              <w:ind w:firstLine="420"/>
              <w:rPr>
                <w:rFonts w:hint="eastAsia" w:ascii="宋体" w:hAnsi="宋体" w:cs="Times New Roman"/>
                <w:sz w:val="21"/>
                <w:szCs w:val="21"/>
                <w:lang w:val="en-US" w:eastAsia="zh-CN"/>
              </w:rPr>
            </w:pPr>
            <w:r>
              <w:rPr>
                <w:rFonts w:hint="eastAsia" w:ascii="宋体" w:hAnsi="宋体" w:cs="Times New Roman"/>
                <w:sz w:val="21"/>
                <w:szCs w:val="21"/>
                <w:lang w:val="en-US" w:eastAsia="zh-CN"/>
              </w:rPr>
              <w:t>抽查；</w:t>
            </w:r>
            <w:r>
              <w:rPr>
                <w:rFonts w:hint="eastAsia" w:ascii="宋体" w:hAnsi="宋体" w:cs="Times New Roman"/>
                <w:sz w:val="21"/>
                <w:szCs w:val="21"/>
                <w:lang w:val="en-US" w:eastAsia="zh-CN"/>
              </w:rPr>
              <w:tab/>
            </w:r>
          </w:p>
          <w:p>
            <w:pPr>
              <w:ind w:firstLine="420"/>
              <w:rPr>
                <w:rFonts w:hint="eastAsia" w:eastAsia="宋体"/>
                <w:lang w:val="en-US" w:eastAsia="zh-CN"/>
              </w:rPr>
            </w:pPr>
            <w:r>
              <w:rPr>
                <w:rFonts w:hint="eastAsia" w:ascii="宋体" w:hAnsi="宋体" w:cs="Times New Roman"/>
                <w:sz w:val="21"/>
                <w:szCs w:val="21"/>
                <w:lang w:val="en-US" w:eastAsia="zh-CN"/>
              </w:rPr>
              <w:tab/>
            </w:r>
            <w:r>
              <w:drawing>
                <wp:inline distT="0" distB="0" distL="114300" distR="114300">
                  <wp:extent cx="1094105" cy="1992630"/>
                  <wp:effectExtent l="0" t="0" r="3175" b="381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1094105" cy="1992630"/>
                          </a:xfrm>
                          <a:prstGeom prst="rect">
                            <a:avLst/>
                          </a:prstGeom>
                          <a:noFill/>
                          <a:ln>
                            <a:noFill/>
                          </a:ln>
                        </pic:spPr>
                      </pic:pic>
                    </a:graphicData>
                  </a:graphic>
                </wp:inline>
              </w:drawing>
            </w:r>
            <w:r>
              <w:rPr>
                <w:rFonts w:hint="eastAsia" w:ascii="宋体" w:hAnsi="宋体" w:cs="Times New Roman"/>
                <w:sz w:val="21"/>
                <w:szCs w:val="21"/>
                <w:lang w:val="en-US" w:eastAsia="zh-CN"/>
              </w:rPr>
              <w:tab/>
            </w:r>
            <w:r>
              <w:drawing>
                <wp:inline distT="0" distB="0" distL="114300" distR="114300">
                  <wp:extent cx="1031240" cy="1974850"/>
                  <wp:effectExtent l="0" t="0" r="5080" b="635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1031240" cy="19748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053465" cy="2003425"/>
                  <wp:effectExtent l="0" t="0" r="5715" b="63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1"/>
                          <a:stretch>
                            <a:fillRect/>
                          </a:stretch>
                        </pic:blipFill>
                        <pic:spPr>
                          <a:xfrm>
                            <a:off x="0" y="0"/>
                            <a:ext cx="1053465" cy="200342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108075" cy="1990725"/>
                  <wp:effectExtent l="0" t="0" r="4445" b="571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2"/>
                          <a:stretch>
                            <a:fillRect/>
                          </a:stretch>
                        </pic:blipFill>
                        <pic:spPr>
                          <a:xfrm>
                            <a:off x="0" y="0"/>
                            <a:ext cx="1108075" cy="1990725"/>
                          </a:xfrm>
                          <a:prstGeom prst="rect">
                            <a:avLst/>
                          </a:prstGeom>
                          <a:noFill/>
                          <a:ln>
                            <a:noFill/>
                          </a:ln>
                        </pic:spPr>
                      </pic:pic>
                    </a:graphicData>
                  </a:graphic>
                </wp:inline>
              </w:drawing>
            </w:r>
          </w:p>
          <w:p>
            <w:pPr>
              <w:ind w:firstLine="840" w:firstLineChars="400"/>
              <w:rPr>
                <w:rFonts w:hint="default"/>
                <w:lang w:val="en-US" w:eastAsia="zh-CN"/>
              </w:rPr>
            </w:pPr>
            <w:r>
              <w:rPr>
                <w:rFonts w:hint="eastAsia"/>
                <w:lang w:val="en-US" w:eastAsia="zh-CN"/>
              </w:rPr>
              <w:t>符合要求。</w:t>
            </w:r>
            <w:bookmarkStart w:id="0" w:name="_GoBack"/>
            <w:bookmarkEnd w:id="0"/>
          </w:p>
        </w:tc>
        <w:tc>
          <w:tcPr>
            <w:tcW w:w="121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2" w:hRule="atLeast"/>
        </w:trPr>
        <w:tc>
          <w:tcPr>
            <w:tcW w:w="2160" w:type="dxa"/>
          </w:tcPr>
          <w:p>
            <w:pPr>
              <w:rPr>
                <w:rFonts w:hint="eastAsia" w:ascii="宋体" w:hAnsi="宋体" w:eastAsia="宋体" w:cs="Times New Roman"/>
                <w:sz w:val="21"/>
                <w:szCs w:val="21"/>
              </w:rPr>
            </w:pPr>
            <w:r>
              <w:rPr>
                <w:rFonts w:hint="eastAsia" w:ascii="宋体" w:hAnsi="宋体" w:cs="Times New Roman"/>
                <w:sz w:val="21"/>
                <w:szCs w:val="21"/>
                <w:lang w:val="en-US" w:eastAsia="zh-CN"/>
              </w:rPr>
              <w:t>3.</w:t>
            </w:r>
            <w:r>
              <w:rPr>
                <w:rFonts w:hint="eastAsia" w:ascii="宋体" w:hAnsi="宋体" w:eastAsia="宋体" w:cs="Times New Roman"/>
                <w:sz w:val="21"/>
                <w:szCs w:val="21"/>
              </w:rPr>
              <w:t>运行的策划和控制、</w:t>
            </w:r>
          </w:p>
        </w:tc>
        <w:tc>
          <w:tcPr>
            <w:tcW w:w="960" w:type="dxa"/>
          </w:tcPr>
          <w:p>
            <w:pPr>
              <w:pStyle w:val="2"/>
              <w:ind w:left="0" w:leftChars="0" w:firstLine="0" w:firstLineChars="0"/>
              <w:rPr>
                <w:rFonts w:hint="eastAsia" w:ascii="宋体" w:hAnsi="宋体" w:cs="Times New Roman"/>
                <w:sz w:val="21"/>
                <w:szCs w:val="21"/>
                <w:lang w:val="en-US" w:eastAsia="zh-CN"/>
              </w:rPr>
            </w:pPr>
            <w:r>
              <w:rPr>
                <w:rFonts w:hint="eastAsia" w:ascii="宋体" w:hAnsi="宋体" w:eastAsia="宋体" w:cs="Times New Roman"/>
                <w:sz w:val="21"/>
                <w:szCs w:val="21"/>
              </w:rPr>
              <w:t>8.1</w:t>
            </w:r>
          </w:p>
        </w:tc>
        <w:tc>
          <w:tcPr>
            <w:tcW w:w="10376" w:type="dxa"/>
          </w:tcPr>
          <w:p>
            <w:pPr>
              <w:ind w:firstLine="420"/>
              <w:rPr>
                <w:rFonts w:hint="eastAsia"/>
                <w:lang w:val="en-US" w:eastAsia="zh-CN"/>
              </w:rPr>
            </w:pPr>
            <w:r>
              <w:rPr>
                <w:rFonts w:hint="eastAsia"/>
                <w:lang w:val="en-US" w:eastAsia="zh-CN"/>
              </w:rPr>
              <w:t>提供人力资源方面的制度：《关于办理职工退休的暂行办法》、《关于招聘大学毕业生的有关规定》、关于印发《离岗退养管理暂行办法》的通知、河北钢铁集团矿业有限公司人力资源部本科以上毕业生见习管理办法、河北钢铁集团矿业有限公司关于印发《公开选拔竞争上岗暂行管理办法》的通知、河北钢铁集团矿业有限公司关于印发《职工休假管理办法》的通知、关于印发《职工调动暂行管理办法》的通知、关于印发《河北钢铁集团矿业有限公司厂纪条例》的通知、《网络学校管理办法》、关于印发《职工教育培训经费管理细则》的通知、《高技能人才管理办法（试行）》、《多能工管理办法（试行）》、《职工教育培训学分管理办法》、《操作技能人员持证上岗管理办法》、关于印发《职工教育培训管理办法》的通知、关于印发《劳动组织管理办法》的通知、关于下发2019年职工教育培训计划的通知、关于印发《劳动合同管理办法》的通知、关于印发《新招录（入厂）职工工资等待遇有关规定》的通知、《河北钢钢集团矿业有限公司机关科级及以下工作人员薪酬管理暂行办法》、关于印发《进一步规范单项奖励管理办法》的通知、《2019年薪酬分配管理办法》、人力资源部专业考核、河钢集团矿业公司专业技术人员管理办法、关于印发《专家管理办法》的通知等。</w:t>
            </w:r>
          </w:p>
          <w:p>
            <w:pPr>
              <w:pStyle w:val="2"/>
              <w:rPr>
                <w:rFonts w:hint="default"/>
                <w:lang w:val="en-US" w:eastAsia="zh-CN"/>
              </w:rPr>
            </w:pPr>
            <w:r>
              <w:rPr>
                <w:rFonts w:hint="eastAsia"/>
                <w:lang w:val="en-US" w:eastAsia="zh-CN"/>
              </w:rPr>
              <w:t xml:space="preserve">人力资源科对公司分管的职责进行每月的检查考核。包括一下方面的工作：负责组织公司职工教育培训工作，并对培训效果进行考核。严把招工关，新招录人员符合从业条件。加强劳动纪律管理，严格考核，保证正常的安全生产秩序。负责薪酬管理工作，职工上岗、评奖、晋升、薪酬分配与安全生产挂钩考核。为职工缴纳工伤保险，负责工伤职工相关待遇工作。   </w:t>
            </w:r>
          </w:p>
          <w:p>
            <w:pPr>
              <w:pStyle w:val="2"/>
              <w:rPr>
                <w:rFonts w:hint="eastAsia"/>
                <w:lang w:val="en-US" w:eastAsia="zh-CN"/>
              </w:rPr>
            </w:pPr>
          </w:p>
          <w:p>
            <w:pPr>
              <w:rPr>
                <w:rFonts w:hint="default"/>
                <w:lang w:val="en-US" w:eastAsia="zh-CN"/>
              </w:rPr>
            </w:pPr>
          </w:p>
        </w:tc>
        <w:tc>
          <w:tcPr>
            <w:tcW w:w="121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rPr>
                <w:rFonts w:hint="eastAsia" w:ascii="宋体" w:hAnsi="宋体" w:eastAsia="宋体" w:cs="Times New Roman"/>
                <w:sz w:val="21"/>
                <w:szCs w:val="21"/>
              </w:rPr>
            </w:pPr>
            <w:r>
              <w:rPr>
                <w:rFonts w:hint="eastAsia" w:ascii="宋体" w:hAnsi="宋体" w:cs="Times New Roman"/>
                <w:sz w:val="21"/>
                <w:szCs w:val="21"/>
                <w:lang w:val="en-US" w:eastAsia="zh-CN"/>
              </w:rPr>
              <w:t>4.</w:t>
            </w:r>
            <w:r>
              <w:rPr>
                <w:rFonts w:hint="eastAsia" w:ascii="宋体" w:hAnsi="宋体" w:eastAsia="宋体" w:cs="Times New Roman"/>
                <w:sz w:val="21"/>
                <w:szCs w:val="21"/>
              </w:rPr>
              <w:t>不符合与纠正措施</w:t>
            </w:r>
          </w:p>
        </w:tc>
        <w:tc>
          <w:tcPr>
            <w:tcW w:w="960" w:type="dxa"/>
          </w:tcPr>
          <w:p>
            <w:pPr>
              <w:pStyle w:val="2"/>
              <w:ind w:left="0" w:leftChars="0" w:firstLine="0" w:firstLineChars="0"/>
              <w:rPr>
                <w:rFonts w:hint="eastAsia" w:ascii="宋体" w:hAnsi="宋体" w:cs="Times New Roman"/>
                <w:sz w:val="21"/>
                <w:szCs w:val="21"/>
                <w:lang w:val="en-US" w:eastAsia="zh-CN"/>
              </w:rPr>
            </w:pPr>
            <w:r>
              <w:rPr>
                <w:rFonts w:hint="eastAsia" w:ascii="宋体" w:hAnsi="宋体" w:eastAsia="宋体" w:cs="Times New Roman"/>
                <w:sz w:val="21"/>
                <w:szCs w:val="21"/>
              </w:rPr>
              <w:t>10.1</w:t>
            </w:r>
          </w:p>
        </w:tc>
        <w:tc>
          <w:tcPr>
            <w:tcW w:w="10376" w:type="dxa"/>
          </w:tcPr>
          <w:p>
            <w:pPr>
              <w:ind w:firstLine="420" w:firstLineChars="200"/>
              <w:rPr>
                <w:rFonts w:hint="eastAsia"/>
                <w:lang w:val="en-US" w:eastAsia="zh-CN"/>
              </w:rPr>
            </w:pPr>
            <w:r>
              <w:rPr>
                <w:rFonts w:hint="eastAsia"/>
                <w:lang w:val="en-US" w:eastAsia="zh-CN"/>
              </w:rPr>
              <w:t>提供《不符合、纠正、纠正措施和预防措施控制程序》公司规定了为了及时纠正在能源管理体系运行中发现的不符合，采取有效的纠正措施与预防措施，减少对生产经营活动的影响，避免不符合的再次发生。</w:t>
            </w:r>
          </w:p>
          <w:p>
            <w:pPr>
              <w:ind w:firstLine="420" w:firstLineChars="200"/>
              <w:rPr>
                <w:rFonts w:hint="default"/>
                <w:lang w:val="en-US" w:eastAsia="zh-CN"/>
              </w:rPr>
            </w:pPr>
            <w:r>
              <w:rPr>
                <w:rFonts w:hint="eastAsia"/>
                <w:lang w:val="en-US" w:eastAsia="zh-CN"/>
              </w:rPr>
              <w:t>本部门对1、公司职工教育培训工作，并对培训效果进行考核。2、严把招工关，新招录人员符合从业条件。3、加强劳动纪律管理，严格考核，保证正常的安全生产秩序。4、负责薪酬管理工作，职工上岗、评奖、晋升、薪酬分配与安全生产挂钩考核。5、为职工缴纳工伤保险，负责工伤职工相关待遇工作。至今每月进行监管与检查没有发生不符合。</w:t>
            </w:r>
          </w:p>
          <w:p>
            <w:pPr>
              <w:ind w:firstLine="420" w:firstLineChars="200"/>
              <w:rPr>
                <w:rFonts w:hint="eastAsia"/>
                <w:lang w:val="en-US" w:eastAsia="zh-CN"/>
              </w:rPr>
            </w:pPr>
          </w:p>
          <w:p>
            <w:pPr>
              <w:rPr>
                <w:rFonts w:hint="default"/>
                <w:lang w:val="en-US" w:eastAsia="zh-CN"/>
              </w:rPr>
            </w:pPr>
          </w:p>
        </w:tc>
        <w:tc>
          <w:tcPr>
            <w:tcW w:w="1213" w:type="dxa"/>
          </w:tcPr>
          <w:p/>
        </w:tc>
      </w:tr>
    </w:tbl>
    <w:p>
      <w:r>
        <w:ptab w:relativeTo="margin" w:alignment="center" w:leader="none"/>
      </w:r>
    </w:p>
    <w:p>
      <w:pPr>
        <w:pStyle w:val="5"/>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-36195</wp:posOffset>
          </wp:positionV>
          <wp:extent cx="389890" cy="366395"/>
          <wp:effectExtent l="0" t="0" r="6350" b="6985"/>
          <wp:wrapTight wrapText="bothSides">
            <wp:wrapPolygon>
              <wp:start x="5910" y="0"/>
              <wp:lineTo x="0" y="3145"/>
              <wp:lineTo x="0" y="16621"/>
              <wp:lineTo x="6332" y="21113"/>
              <wp:lineTo x="9287" y="21113"/>
              <wp:lineTo x="14353" y="21113"/>
              <wp:lineTo x="14775" y="21113"/>
              <wp:lineTo x="20685" y="14375"/>
              <wp:lineTo x="20685" y="5840"/>
              <wp:lineTo x="17308" y="1797"/>
              <wp:lineTo x="14353" y="0"/>
              <wp:lineTo x="5910"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389890" cy="366395"/>
                  </a:xfrm>
                  <a:prstGeom prst="rect">
                    <a:avLst/>
                  </a:prstGeom>
                  <a:noFill/>
                  <a:ln w="9525">
                    <a:noFill/>
                    <a:miter lim="800000"/>
                    <a:headEnd/>
                    <a:tailEnd/>
                  </a:ln>
                </pic:spPr>
              </pic:pic>
            </a:graphicData>
          </a:graphic>
        </wp:anchor>
      </w:drawing>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6"/>
      <w:pBdr>
        <w:bottom w:val="none" w:color="auto" w:sz="0" w:space="1"/>
      </w:pBdr>
      <w:spacing w:line="320" w:lineRule="exact"/>
      <w:jc w:val="left"/>
    </w:pPr>
    <w:r>
      <w:pict>
        <v:shape id="文本框 1" o:spid="_x0000_s4097" o:spt="202" type="#_x0000_t202" style="position:absolute;left:0pt;margin-left:554.75pt;margin-top:2.2pt;height:20.2pt;width:172pt;z-index:251661312;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w:t>
                </w:r>
                <w:r>
                  <w:rPr>
                    <w:sz w:val="18"/>
                    <w:szCs w:val="18"/>
                  </w:rPr>
                  <w:t>0</w:t>
                </w:r>
                <w:r>
                  <w:rPr>
                    <w:rFonts w:hint="eastAsia"/>
                    <w:sz w:val="18"/>
                    <w:szCs w:val="18"/>
                  </w:rPr>
                  <w:t>管理体系审核记录表(03版)</w:t>
                </w:r>
              </w:p>
            </w:txbxContent>
          </v:textbox>
        </v:shape>
      </w:pict>
    </w:r>
    <w:r>
      <w:rPr>
        <w:rStyle w:val="14"/>
        <w:rFonts w:hint="default"/>
        <w:w w:val="90"/>
      </w:rPr>
      <w:t>Beijing International Standard united Certification Co.,Ltd.</w:t>
    </w:r>
  </w:p>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BE3EB6"/>
    <w:multiLevelType w:val="singleLevel"/>
    <w:tmpl w:val="ABBE3EB6"/>
    <w:lvl w:ilvl="0" w:tentative="0">
      <w:start w:val="2"/>
      <w:numFmt w:val="decimal"/>
      <w:suff w:val="nothing"/>
      <w:lvlText w:val="%1、"/>
      <w:lvlJc w:val="left"/>
      <w:pPr>
        <w:ind w:left="420" w:leftChars="0" w:firstLine="0" w:firstLineChars="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237F6"/>
    <w:rsid w:val="0003373A"/>
    <w:rsid w:val="000400E2"/>
    <w:rsid w:val="00062E46"/>
    <w:rsid w:val="000E6B21"/>
    <w:rsid w:val="001A2D7F"/>
    <w:rsid w:val="002939AD"/>
    <w:rsid w:val="00314AF6"/>
    <w:rsid w:val="00337922"/>
    <w:rsid w:val="00340867"/>
    <w:rsid w:val="00380837"/>
    <w:rsid w:val="003A198A"/>
    <w:rsid w:val="00410914"/>
    <w:rsid w:val="00536930"/>
    <w:rsid w:val="00564E53"/>
    <w:rsid w:val="005D5659"/>
    <w:rsid w:val="00600C20"/>
    <w:rsid w:val="00644FE2"/>
    <w:rsid w:val="0067640C"/>
    <w:rsid w:val="006E678B"/>
    <w:rsid w:val="007757F3"/>
    <w:rsid w:val="007C1B48"/>
    <w:rsid w:val="007E6AEB"/>
    <w:rsid w:val="008973EE"/>
    <w:rsid w:val="00971600"/>
    <w:rsid w:val="009973B4"/>
    <w:rsid w:val="009C28C1"/>
    <w:rsid w:val="009F7EED"/>
    <w:rsid w:val="00A80636"/>
    <w:rsid w:val="00AF0AAB"/>
    <w:rsid w:val="00BF597E"/>
    <w:rsid w:val="00C51A36"/>
    <w:rsid w:val="00C55228"/>
    <w:rsid w:val="00C63768"/>
    <w:rsid w:val="00CE315A"/>
    <w:rsid w:val="00D06F59"/>
    <w:rsid w:val="00D8388C"/>
    <w:rsid w:val="00E6224C"/>
    <w:rsid w:val="00EB0164"/>
    <w:rsid w:val="00ED0F62"/>
    <w:rsid w:val="049241BE"/>
    <w:rsid w:val="108219C2"/>
    <w:rsid w:val="11171A8E"/>
    <w:rsid w:val="17E52C11"/>
    <w:rsid w:val="1CB922AB"/>
    <w:rsid w:val="254030D9"/>
    <w:rsid w:val="26A001C3"/>
    <w:rsid w:val="2C6C02D0"/>
    <w:rsid w:val="3C0C3095"/>
    <w:rsid w:val="41EB158B"/>
    <w:rsid w:val="51FB57D8"/>
    <w:rsid w:val="56D65953"/>
    <w:rsid w:val="588277BB"/>
    <w:rsid w:val="5BFD0207"/>
    <w:rsid w:val="5EA12B9A"/>
    <w:rsid w:val="5F2773C0"/>
    <w:rsid w:val="7AB130B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qFormat="1"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table of figures"/>
    <w:basedOn w:val="1"/>
    <w:next w:val="1"/>
    <w:qFormat/>
    <w:uiPriority w:val="0"/>
    <w:pPr>
      <w:ind w:left="200" w:leftChars="200" w:hanging="200" w:hangingChars="200"/>
    </w:pPr>
  </w:style>
  <w:style w:type="paragraph" w:styleId="3">
    <w:name w:val="Body Text"/>
    <w:basedOn w:val="1"/>
    <w:qFormat/>
    <w:uiPriority w:val="1"/>
    <w:pPr>
      <w:autoSpaceDE w:val="0"/>
      <w:autoSpaceDN w:val="0"/>
      <w:spacing w:before="92"/>
      <w:ind w:left="980" w:firstLine="480"/>
      <w:jc w:val="left"/>
    </w:pPr>
    <w:rPr>
      <w:rFonts w:ascii="宋体" w:hAnsi="宋体" w:cs="宋体"/>
      <w:kern w:val="0"/>
      <w:sz w:val="24"/>
      <w:szCs w:val="24"/>
      <w:lang w:val="zh-CN" w:bidi="zh-CN"/>
    </w:rPr>
  </w:style>
  <w:style w:type="paragraph" w:styleId="4">
    <w:name w:val="Balloon Text"/>
    <w:basedOn w:val="1"/>
    <w:link w:val="13"/>
    <w:semiHidden/>
    <w:unhideWhenUsed/>
    <w:qFormat/>
    <w:uiPriority w:val="99"/>
    <w:rPr>
      <w:sz w:val="18"/>
      <w:szCs w:val="18"/>
    </w:r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uiPriority w:val="0"/>
    <w:pPr>
      <w:pBdr>
        <w:bottom w:val="single" w:color="auto" w:sz="6" w:space="1"/>
      </w:pBdr>
      <w:tabs>
        <w:tab w:val="center" w:pos="4153"/>
        <w:tab w:val="right" w:pos="8306"/>
      </w:tabs>
      <w:snapToGrid w:val="0"/>
      <w:jc w:val="center"/>
    </w:pPr>
    <w:rPr>
      <w:sz w:val="18"/>
      <w:szCs w:val="18"/>
    </w:rPr>
  </w:style>
  <w:style w:type="paragraph" w:styleId="7">
    <w:name w:val="Body Text First Indent"/>
    <w:basedOn w:val="3"/>
    <w:semiHidden/>
    <w:unhideWhenUsed/>
    <w:qFormat/>
    <w:uiPriority w:val="99"/>
    <w:pPr>
      <w:autoSpaceDE/>
      <w:autoSpaceDN/>
      <w:spacing w:before="0" w:after="120"/>
      <w:ind w:left="0" w:firstLine="420" w:firstLineChars="100"/>
      <w:jc w:val="both"/>
    </w:pPr>
    <w:rPr>
      <w:rFonts w:ascii="Times New Roman" w:hAnsi="Times New Roman" w:cs="Times New Roman"/>
      <w:kern w:val="2"/>
      <w:sz w:val="21"/>
      <w:szCs w:val="20"/>
      <w:lang w:val="en-US" w:bidi="ar-SA"/>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页眉 字符"/>
    <w:basedOn w:val="10"/>
    <w:link w:val="6"/>
    <w:qFormat/>
    <w:uiPriority w:val="99"/>
    <w:rPr>
      <w:rFonts w:ascii="Times New Roman" w:hAnsi="Times New Roman" w:eastAsia="宋体" w:cs="Times New Roman"/>
      <w:sz w:val="18"/>
      <w:szCs w:val="18"/>
    </w:rPr>
  </w:style>
  <w:style w:type="character" w:customStyle="1" w:styleId="12">
    <w:name w:val="页脚 字符"/>
    <w:basedOn w:val="10"/>
    <w:link w:val="5"/>
    <w:qFormat/>
    <w:uiPriority w:val="99"/>
    <w:rPr>
      <w:rFonts w:ascii="Times New Roman" w:hAnsi="Times New Roman" w:eastAsia="宋体" w:cs="Times New Roman"/>
      <w:sz w:val="18"/>
      <w:szCs w:val="18"/>
    </w:rPr>
  </w:style>
  <w:style w:type="character" w:customStyle="1" w:styleId="13">
    <w:name w:val="批注框文本 字符"/>
    <w:basedOn w:val="10"/>
    <w:link w:val="4"/>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character" w:customStyle="1" w:styleId="15">
    <w:name w:val="font01"/>
    <w:basedOn w:val="10"/>
    <w:qFormat/>
    <w:uiPriority w:val="0"/>
    <w:rPr>
      <w:rFonts w:hint="eastAsia" w:ascii="宋体" w:hAnsi="宋体" w:eastAsia="宋体" w:cs="宋体"/>
      <w:color w:val="000000"/>
      <w:sz w:val="20"/>
      <w:szCs w:val="20"/>
      <w:u w:val="none"/>
    </w:rPr>
  </w:style>
  <w:style w:type="paragraph" w:styleId="16">
    <w:name w:val="List Paragraph"/>
    <w:basedOn w:val="1"/>
    <w:qFormat/>
    <w:uiPriority w:val="1"/>
    <w:pPr>
      <w:autoSpaceDE w:val="0"/>
      <w:autoSpaceDN w:val="0"/>
      <w:spacing w:before="92"/>
      <w:ind w:left="980" w:hanging="601"/>
      <w:jc w:val="left"/>
    </w:pPr>
    <w:rPr>
      <w:rFonts w:ascii="宋体" w:hAnsi="宋体" w:cs="宋体"/>
      <w:kern w:val="0"/>
      <w:sz w:val="22"/>
      <w:szCs w:val="2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emf"/><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22</Words>
  <Characters>126</Characters>
  <Lines>1</Lines>
  <Paragraphs>1</Paragraphs>
  <TotalTime>1</TotalTime>
  <ScaleCrop>false</ScaleCrop>
  <LinksUpToDate>false</LinksUpToDate>
  <CharactersWithSpaces>147</CharactersWithSpaces>
  <Application>WPS Office_11.3.0.9221_F1E327BC-269C-435d-A152-05C5408002CA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王宁敏</cp:lastModifiedBy>
  <dcterms:modified xsi:type="dcterms:W3CDTF">2021-08-11T09:00:54Z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2052-11.3.0.9221</vt:lpwstr>
  </property>
</Properties>
</file>