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5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广汉市汇通塑胶有限责任公司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四川省广汉市和兴镇万年村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广汉市和兴镇万年村（运通化工公司内）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罗敏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13990262795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石宇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0388-2020-Q-2021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聚乙烯吹塑包装桶(4.5L-200L)的生产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14.02.02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2021年08月07日 上午至2021年08月08日 上午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29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四川新升塑胶实业有限公司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14.02.02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ISC-JSZJ-360</w:t>
            </w:r>
          </w:p>
        </w:tc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18683460448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85" w:type="dxa"/>
            <w:gridSpan w:val="4"/>
            <w:vAlign w:val="center"/>
          </w:tcPr>
          <w:p/>
        </w:tc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47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4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2021.8.5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hint="eastAsia"/>
                <w:b/>
                <w:sz w:val="20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8月7日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余家龙、李进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09：00-10：30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范围的确认、资质的确认、法律法规执行情况、质量抽查及顾客投诉情况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/政府主管部门监督抽查情况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初审不符合</w:t>
            </w:r>
            <w:r>
              <w:rPr>
                <w:rFonts w:hint="eastAsia" w:ascii="宋体" w:hAnsi="宋体" w:cs="宋体"/>
                <w:sz w:val="21"/>
                <w:szCs w:val="21"/>
              </w:rPr>
              <w:t>问题验证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10：30-12：00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质量管理部：余家龙、李进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8.5.4防护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8.6产品和服务放行 ；8.7不合格输出的控制；9.1.1监测、分析和评价总则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13：00-16：30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综合管理及安全环保部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余家龙、李进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5.3组织的角色、职责和权限；6.2质量目标及其实现的策划；7.1.2人员；8.2产品和服务的要求；8.4外部提供过程、产品和服务的控制；8.5.3顾客或外部供方的财产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16：30-17：30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技术设备部:余家龙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5.3组织的角色、职责和权限；6.2质量目标及其实现的策划；7.1.3基础设施；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</w:trPr>
        <w:tc>
          <w:tcPr>
            <w:tcW w:w="11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8月8日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08：30-12：00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生产车间：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余家龙、李进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5.3组织的角色、职责和权限；6.2质量目标及其实现的策划；8.1运行策划和控制； 8.5.1生产和服务提供的控制；8.5.2标识和可追溯性；8.5.6更改控制；10.2不合格和纠正措施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1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余家龙、李进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bookmarkStart w:id="32" w:name="_GoBack"/>
            <w:bookmarkEnd w:id="32"/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480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0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2021-08-07T01:40:37Z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