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过程与活动、</w:t>
            </w:r>
          </w:p>
          <w:p>
            <w:pPr>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抽样计划</w:t>
            </w:r>
          </w:p>
        </w:tc>
        <w:tc>
          <w:tcPr>
            <w:tcW w:w="1269" w:type="dxa"/>
            <w:vMerge w:val="restart"/>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涉及</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条款</w:t>
            </w:r>
          </w:p>
        </w:tc>
        <w:tc>
          <w:tcPr>
            <w:tcW w:w="10947"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受审核部门：</w:t>
            </w:r>
            <w:r>
              <w:rPr>
                <w:rFonts w:hint="eastAsia" w:ascii="宋体" w:hAnsi="宋体" w:eastAsiaTheme="minorEastAsia"/>
                <w:color w:val="000000" w:themeColor="text1"/>
                <w:sz w:val="18"/>
                <w:szCs w:val="22"/>
                <w:lang w:eastAsia="zh-CN"/>
              </w:rPr>
              <w:t>业务部</w:t>
            </w:r>
            <w:r>
              <w:rPr>
                <w:rFonts w:hint="eastAsia" w:asciiTheme="minorEastAsia" w:hAnsiTheme="minorEastAsia" w:eastAsiaTheme="minorEastAsia" w:cstheme="minorEastAsia"/>
                <w:color w:val="000000" w:themeColor="text1"/>
                <w:szCs w:val="21"/>
              </w:rPr>
              <w:t xml:space="preserve">       主管领导：</w:t>
            </w:r>
            <w:r>
              <w:rPr>
                <w:rFonts w:hint="eastAsia"/>
              </w:rPr>
              <w:t>孙博文</w:t>
            </w:r>
            <w:r>
              <w:rPr>
                <w:rFonts w:hint="eastAsia" w:asciiTheme="minorEastAsia" w:hAnsiTheme="minorEastAsia" w:eastAsiaTheme="minorEastAsia" w:cstheme="minorEastAsia"/>
                <w:color w:val="000000" w:themeColor="text1"/>
                <w:szCs w:val="21"/>
              </w:rPr>
              <w:t xml:space="preserve">   陪同人员：</w:t>
            </w:r>
            <w:r>
              <w:rPr>
                <w:rFonts w:hint="eastAsia"/>
              </w:rPr>
              <w:t>陈春芳</w:t>
            </w:r>
          </w:p>
        </w:tc>
        <w:tc>
          <w:tcPr>
            <w:tcW w:w="837" w:type="dxa"/>
            <w:vMerge w:val="restart"/>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color w:val="000000" w:themeColor="text1"/>
                <w:szCs w:val="21"/>
              </w:rPr>
            </w:pPr>
          </w:p>
        </w:tc>
        <w:tc>
          <w:tcPr>
            <w:tcW w:w="1269" w:type="dxa"/>
            <w:vMerge w:val="continue"/>
            <w:vAlign w:val="center"/>
          </w:tcPr>
          <w:p>
            <w:pPr>
              <w:rPr>
                <w:rFonts w:asciiTheme="minorEastAsia" w:hAnsiTheme="minorEastAsia" w:eastAsiaTheme="minorEastAsia" w:cstheme="minorEastAsia"/>
                <w:color w:val="000000" w:themeColor="text1"/>
                <w:szCs w:val="21"/>
              </w:rPr>
            </w:pPr>
          </w:p>
        </w:tc>
        <w:tc>
          <w:tcPr>
            <w:tcW w:w="10947" w:type="dxa"/>
            <w:vAlign w:val="center"/>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审核员：</w:t>
            </w:r>
            <w:r>
              <w:rPr>
                <w:rFonts w:hint="eastAsia"/>
                <w:color w:val="000000" w:themeColor="text1"/>
                <w:sz w:val="18"/>
                <w:szCs w:val="18"/>
              </w:rPr>
              <w:t>李京田</w:t>
            </w:r>
            <w:r>
              <w:rPr>
                <w:rFonts w:hint="eastAsia" w:asciiTheme="minorEastAsia" w:hAnsiTheme="minorEastAsia" w:eastAsiaTheme="minorEastAsia" w:cstheme="minorEastAsia"/>
                <w:color w:val="000000" w:themeColor="text1"/>
                <w:szCs w:val="21"/>
              </w:rPr>
              <w:t xml:space="preserve">         审核时间：202</w:t>
            </w:r>
            <w:r>
              <w:rPr>
                <w:rFonts w:hint="eastAsia" w:asciiTheme="minorEastAsia" w:hAnsiTheme="minorEastAsia" w:eastAsiaTheme="minorEastAsia" w:cstheme="minorEastAsia"/>
                <w:color w:val="000000" w:themeColor="text1"/>
                <w:szCs w:val="21"/>
                <w:lang w:val="en-US" w:eastAsia="zh-CN"/>
              </w:rPr>
              <w:t>1</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8</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10</w:t>
            </w:r>
            <w:r>
              <w:rPr>
                <w:rFonts w:hint="eastAsia" w:asciiTheme="minorEastAsia" w:hAnsiTheme="minorEastAsia" w:eastAsiaTheme="minorEastAsia" w:cstheme="minorEastAsia"/>
                <w:color w:val="000000" w:themeColor="text1"/>
                <w:szCs w:val="21"/>
              </w:rPr>
              <w:t>日</w:t>
            </w:r>
          </w:p>
        </w:tc>
        <w:tc>
          <w:tcPr>
            <w:tcW w:w="837"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color w:val="000000" w:themeColor="text1"/>
                <w:szCs w:val="21"/>
              </w:rPr>
            </w:pPr>
          </w:p>
        </w:tc>
        <w:tc>
          <w:tcPr>
            <w:tcW w:w="1269" w:type="dxa"/>
            <w:vMerge w:val="continue"/>
            <w:vAlign w:val="center"/>
          </w:tcPr>
          <w:p>
            <w:pPr>
              <w:rPr>
                <w:rFonts w:asciiTheme="minorEastAsia" w:hAnsiTheme="minorEastAsia" w:eastAsiaTheme="minorEastAsia" w:cstheme="minorEastAsia"/>
                <w:color w:val="000000" w:themeColor="text1"/>
                <w:szCs w:val="21"/>
              </w:rPr>
            </w:pPr>
          </w:p>
        </w:tc>
        <w:tc>
          <w:tcPr>
            <w:tcW w:w="10947" w:type="dxa"/>
            <w:vAlign w:val="center"/>
          </w:tcPr>
          <w:p>
            <w:pPr>
              <w:snapToGrid w:val="0"/>
              <w:spacing w:line="260" w:lineRule="exact"/>
              <w:rPr>
                <w:rFonts w:ascii="宋体" w:hAnsi="宋体" w:cs="宋体"/>
                <w:b/>
                <w:bCs/>
                <w:color w:val="000000" w:themeColor="text1"/>
                <w:szCs w:val="21"/>
              </w:rPr>
            </w:pPr>
            <w:r>
              <w:rPr>
                <w:rFonts w:hint="eastAsia"/>
                <w:color w:val="000000" w:themeColor="text1"/>
              </w:rPr>
              <w:t>审核条款</w:t>
            </w:r>
            <w:r>
              <w:rPr>
                <w:rFonts w:hint="eastAsia" w:ascii="宋体" w:hAnsi="宋体"/>
                <w:color w:val="000000" w:themeColor="text1"/>
                <w:sz w:val="18"/>
                <w:lang w:val="en-US" w:eastAsia="zh-CN"/>
              </w:rPr>
              <w:t>ES</w:t>
            </w:r>
            <w:r>
              <w:rPr>
                <w:rFonts w:ascii="宋体" w:hAnsi="宋体"/>
                <w:color w:val="000000" w:themeColor="text1"/>
                <w:sz w:val="18"/>
              </w:rPr>
              <w:t>:5.3/6.1.2</w:t>
            </w:r>
            <w:r>
              <w:rPr>
                <w:rFonts w:hint="eastAsia" w:ascii="宋体" w:hAnsi="宋体"/>
                <w:color w:val="000000" w:themeColor="text1"/>
                <w:sz w:val="18"/>
              </w:rPr>
              <w:t>/6.2/</w:t>
            </w:r>
            <w:r>
              <w:rPr>
                <w:rFonts w:ascii="宋体" w:hAnsi="宋体"/>
                <w:color w:val="000000" w:themeColor="text1"/>
                <w:sz w:val="18"/>
              </w:rPr>
              <w:t>8.1/8.</w:t>
            </w:r>
            <w:r>
              <w:rPr>
                <w:rFonts w:hint="eastAsia" w:ascii="宋体" w:hAnsi="宋体"/>
                <w:color w:val="000000" w:themeColor="text1"/>
                <w:sz w:val="18"/>
                <w:lang w:val="en-US" w:eastAsia="zh-CN"/>
              </w:rPr>
              <w:t>2</w:t>
            </w:r>
          </w:p>
        </w:tc>
        <w:tc>
          <w:tcPr>
            <w:tcW w:w="837"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组织的岗位职责和权限</w:t>
            </w:r>
          </w:p>
          <w:p>
            <w:pPr>
              <w:spacing w:line="280" w:lineRule="exact"/>
              <w:rPr>
                <w:rFonts w:asciiTheme="minorEastAsia" w:hAnsiTheme="minorEastAsia" w:eastAsiaTheme="minorEastAsia" w:cstheme="minorEastAsia"/>
                <w:color w:val="000000" w:themeColor="text1"/>
                <w:szCs w:val="21"/>
              </w:rPr>
            </w:pP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5.3</w:t>
            </w:r>
          </w:p>
          <w:p>
            <w:pPr>
              <w:spacing w:line="280" w:lineRule="exact"/>
              <w:rPr>
                <w:rFonts w:asciiTheme="minorEastAsia" w:hAnsiTheme="minorEastAsia" w:eastAsiaTheme="minorEastAsia" w:cstheme="minorEastAsia"/>
                <w:color w:val="000000" w:themeColor="text1"/>
                <w:szCs w:val="21"/>
              </w:rPr>
            </w:pPr>
          </w:p>
        </w:tc>
        <w:tc>
          <w:tcPr>
            <w:tcW w:w="10947" w:type="dxa"/>
          </w:tcPr>
          <w:p>
            <w:pPr>
              <w:ind w:firstLine="210" w:firstLineChars="100"/>
              <w:rPr>
                <w:rFonts w:ascii="宋体" w:hAnsi="宋体" w:cs="宋体"/>
                <w:b w:val="0"/>
                <w:bCs w:val="0"/>
                <w:color w:val="000000" w:themeColor="text1"/>
                <w:szCs w:val="21"/>
              </w:rPr>
            </w:pPr>
            <w:r>
              <w:rPr>
                <w:rFonts w:hint="eastAsia" w:ascii="宋体" w:hAnsi="宋体" w:cs="宋体"/>
                <w:color w:val="000000" w:themeColor="text1"/>
                <w:szCs w:val="21"/>
              </w:rPr>
              <w:t>负</w:t>
            </w:r>
            <w:r>
              <w:rPr>
                <w:rFonts w:hint="eastAsia" w:ascii="宋体" w:hAnsi="宋体" w:cs="宋体"/>
                <w:b w:val="0"/>
                <w:bCs w:val="0"/>
                <w:color w:val="000000" w:themeColor="text1"/>
                <w:szCs w:val="21"/>
              </w:rPr>
              <w:t>责公司</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的实施和管理、负责</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方案等技术文件的编制、修订</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负责</w:t>
            </w:r>
            <w:r>
              <w:rPr>
                <w:sz w:val="20"/>
              </w:rPr>
              <w:t>物业管理；室内外清洁服务；园林绿化服务</w:t>
            </w:r>
            <w:r>
              <w:rPr>
                <w:rFonts w:hint="eastAsia" w:ascii="宋体" w:hAnsi="宋体"/>
                <w:b w:val="0"/>
                <w:bCs w:val="0"/>
                <w:color w:val="000000" w:themeColor="text1"/>
                <w:szCs w:val="21"/>
              </w:rPr>
              <w:t>的销售</w:t>
            </w:r>
            <w:r>
              <w:rPr>
                <w:rFonts w:hint="eastAsia" w:ascii="宋体" w:hAnsi="宋体" w:cs="宋体"/>
                <w:b w:val="0"/>
                <w:bCs w:val="0"/>
                <w:color w:val="000000" w:themeColor="text1"/>
                <w:szCs w:val="21"/>
              </w:rPr>
              <w:t>项目进度和工作质量的把控、负责销售反馈问题的汇总、跟踪及解决</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负责客户关系协调及客户人员培训、根据相关政策法规的规定，负责对相关</w:t>
            </w:r>
            <w:r>
              <w:rPr>
                <w:rFonts w:hint="eastAsia" w:ascii="宋体" w:hAnsi="宋体"/>
                <w:b w:val="0"/>
                <w:bCs w:val="0"/>
                <w:color w:val="000000" w:themeColor="text1"/>
                <w:szCs w:val="21"/>
              </w:rPr>
              <w:t>园林绿化服务</w:t>
            </w:r>
            <w:r>
              <w:rPr>
                <w:rFonts w:hint="eastAsia" w:ascii="宋体" w:hAnsi="宋体" w:cs="宋体"/>
                <w:b w:val="0"/>
                <w:bCs w:val="0"/>
                <w:color w:val="000000" w:themeColor="text1"/>
                <w:szCs w:val="21"/>
              </w:rPr>
              <w:t>文件进行调整和完善、.完成领导交办的其他任务</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环境、职业健康安全体系运行过程；</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环境因素、危险源的识别和评价及管理控制</w:t>
            </w:r>
          </w:p>
          <w:p>
            <w:pPr>
              <w:spacing w:line="280" w:lineRule="exact"/>
              <w:ind w:firstLine="420"/>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内外部信息交流过程；</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目标及其实现的策划总要求</w:t>
            </w:r>
          </w:p>
        </w:tc>
        <w:tc>
          <w:tcPr>
            <w:tcW w:w="1269" w:type="dxa"/>
          </w:tcPr>
          <w:p>
            <w:pPr>
              <w:spacing w:line="280" w:lineRule="exact"/>
              <w:rPr>
                <w:color w:val="000000" w:themeColor="text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6.2</w:t>
            </w:r>
          </w:p>
          <w:p>
            <w:pPr>
              <w:spacing w:line="280" w:lineRule="exact"/>
              <w:rPr>
                <w:rFonts w:asciiTheme="minorEastAsia" w:hAnsiTheme="minorEastAsia" w:eastAsiaTheme="minorEastAsia" w:cstheme="minorEastAsia"/>
                <w:color w:val="000000" w:themeColor="text1"/>
                <w:szCs w:val="21"/>
              </w:rPr>
            </w:pPr>
          </w:p>
        </w:tc>
        <w:tc>
          <w:tcPr>
            <w:tcW w:w="10947" w:type="dxa"/>
          </w:tcPr>
          <w:p>
            <w:pPr>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管理目标有：                               </w:t>
            </w:r>
            <w:r>
              <w:rPr>
                <w:rFonts w:hint="eastAsia" w:ascii="宋体" w:hAnsi="宋体" w:cs="宋体"/>
                <w:color w:val="000000" w:themeColor="text1"/>
                <w:szCs w:val="21"/>
                <w:highlight w:val="none"/>
              </w:rPr>
              <w:t>查20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7-2021年7</w:t>
            </w:r>
            <w:r>
              <w:rPr>
                <w:rFonts w:hint="eastAsia" w:ascii="宋体" w:hAnsi="宋体" w:cs="宋体"/>
                <w:color w:val="000000" w:themeColor="text1"/>
                <w:szCs w:val="21"/>
                <w:highlight w:val="none"/>
              </w:rPr>
              <w:t>月考核统计</w:t>
            </w:r>
            <w:r>
              <w:rPr>
                <w:rFonts w:hint="eastAsia" w:asciiTheme="minorEastAsia" w:hAnsiTheme="minorEastAsia" w:eastAsiaTheme="minorEastAsia" w:cstheme="minorEastAsia"/>
                <w:color w:val="000000" w:themeColor="text1"/>
                <w:szCs w:val="21"/>
                <w:highlight w:val="none"/>
              </w:rPr>
              <w:t xml:space="preserve">                             </w:t>
            </w:r>
          </w:p>
          <w:p>
            <w:pPr>
              <w:pStyle w:val="2"/>
              <w:ind w:firstLine="210" w:firstLineChars="10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 重大以上事故发生率0                                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火灾事故为0                                       0</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固废分类处置率100%                              100%        </w:t>
            </w:r>
          </w:p>
          <w:p>
            <w:pPr>
              <w:ind w:firstLine="315" w:firstLineChars="150"/>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pPr>
            <w:r>
              <w:rPr>
                <w:rFonts w:hint="eastAsia" w:asciiTheme="minorEastAsia" w:hAnsiTheme="minorEastAsia" w:eastAsiaTheme="minorEastAsia" w:cstheme="minorEastAsia"/>
                <w:bCs w:val="0"/>
                <w:color w:val="000000" w:themeColor="text1"/>
                <w:spacing w:val="0"/>
                <w:kern w:val="2"/>
                <w:sz w:val="21"/>
                <w:szCs w:val="21"/>
                <w:highlight w:val="none"/>
                <w:lang w:val="en-US" w:eastAsia="zh-CN" w:bidi="ar-SA"/>
              </w:rPr>
              <w:t xml:space="preserve">环境污染事故发生率为0                           0    </w:t>
            </w:r>
          </w:p>
          <w:p>
            <w:pPr>
              <w:spacing w:line="280" w:lineRule="exact"/>
              <w:ind w:firstLine="420" w:firstLineChars="200"/>
              <w:rPr>
                <w:rFonts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目标可测量，与公司方针一致。</w:t>
            </w:r>
          </w:p>
          <w:p>
            <w:pPr>
              <w:ind w:left="210" w:leftChars="100" w:firstLine="210" w:firstLineChars="100"/>
              <w:rPr>
                <w:rFonts w:hint="eastAsia" w:ascii="宋体" w:hAnsi="宋体" w:cs="宋体"/>
                <w:color w:val="000000" w:themeColor="text1"/>
                <w:szCs w:val="21"/>
              </w:rPr>
            </w:pP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环境和职业健康安全体系建立了管理方案，查管理方案表：</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1、办公用硒鼓、墨盒等固废等原材料废弃物等分类收集保管，交由相应部门处置；</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hint="eastAsia" w:ascii="宋体" w:hAnsi="宋体" w:eastAsia="宋体"/>
                <w:color w:val="000000" w:themeColor="text1"/>
                <w:szCs w:val="21"/>
                <w:lang w:eastAsia="zh-CN"/>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rPr>
              <w:t>彭元辉</w:t>
            </w:r>
            <w:r>
              <w:rPr>
                <w:rFonts w:hint="eastAsia" w:ascii="宋体" w:hAnsi="宋体" w:cs="宋体"/>
                <w:color w:val="000000" w:themeColor="text1"/>
                <w:szCs w:val="21"/>
              </w:rPr>
              <w:t>，责任部门：</w:t>
            </w:r>
            <w:r>
              <w:rPr>
                <w:rFonts w:hint="eastAsia" w:ascii="宋体" w:hAnsi="宋体"/>
                <w:color w:val="000000" w:themeColor="text1"/>
                <w:szCs w:val="21"/>
                <w:lang w:val="en-US" w:eastAsia="zh-CN"/>
              </w:rPr>
              <w:t>办公室</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p>
          <w:p>
            <w:pPr>
              <w:ind w:firstLine="420" w:firstLineChars="200"/>
              <w:rPr>
                <w:rFonts w:ascii="宋体" w:hAnsi="宋体"/>
                <w:color w:val="000000" w:themeColor="text1"/>
                <w:szCs w:val="21"/>
              </w:rPr>
            </w:pPr>
            <w:r>
              <w:rPr>
                <w:rFonts w:hint="eastAsia" w:ascii="宋体" w:hAnsi="宋体" w:cs="宋体"/>
                <w:color w:val="000000" w:themeColor="text1"/>
                <w:szCs w:val="21"/>
              </w:rPr>
              <w:t>3、电线老化引发火灾、临时接电触电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、对职工进行安全教育培训。执行部门：各部门，责任人：</w:t>
            </w:r>
            <w:r>
              <w:rPr>
                <w:rFonts w:hint="eastAsia"/>
              </w:rPr>
              <w:t>彭元辉</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r>
              <w:rPr>
                <w:rFonts w:hint="eastAsia" w:ascii="宋体" w:hAnsi="宋体"/>
                <w:color w:val="000000" w:themeColor="text1"/>
                <w:szCs w:val="21"/>
              </w:rPr>
              <w:t>。</w:t>
            </w:r>
          </w:p>
          <w:p>
            <w:pPr>
              <w:ind w:firstLine="420" w:firstLineChars="200"/>
              <w:rPr>
                <w:color w:val="000000" w:themeColor="text1"/>
                <w:szCs w:val="21"/>
              </w:rPr>
            </w:pPr>
            <w:r>
              <w:rPr>
                <w:rFonts w:hint="eastAsia" w:ascii="宋体" w:hAnsi="宋体" w:cs="宋体"/>
                <w:color w:val="000000" w:themeColor="text1"/>
                <w:szCs w:val="21"/>
              </w:rPr>
              <w:t>上述目标、指标</w:t>
            </w:r>
            <w:bookmarkStart w:id="0" w:name="_GoBack"/>
            <w:bookmarkEnd w:id="0"/>
            <w:r>
              <w:rPr>
                <w:rFonts w:hint="eastAsia" w:ascii="宋体" w:hAnsi="宋体" w:cs="宋体"/>
                <w:color w:val="000000" w:themeColor="text1"/>
                <w:szCs w:val="21"/>
              </w:rPr>
              <w:t>进行考核，考核结果：全部达标，检查人：</w:t>
            </w:r>
            <w:r>
              <w:rPr>
                <w:rFonts w:hint="eastAsia"/>
              </w:rPr>
              <w:t>彭元辉</w:t>
            </w:r>
            <w:r>
              <w:rPr>
                <w:rFonts w:hint="eastAsia" w:ascii="宋体" w:hAnsi="宋体" w:cs="宋体"/>
                <w:color w:val="000000" w:themeColor="text1"/>
                <w:szCs w:val="21"/>
              </w:rPr>
              <w:t>。制定的指标和管理方案基本可行。</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color w:val="000000" w:themeColor="text1"/>
                <w:szCs w:val="21"/>
              </w:rPr>
            </w:pPr>
            <w:r>
              <w:rPr>
                <w:rFonts w:hint="eastAsia"/>
                <w:color w:val="000000" w:themeColor="text1"/>
                <w:szCs w:val="21"/>
              </w:rPr>
              <w:t>环境因素、危险源识别</w:t>
            </w:r>
          </w:p>
        </w:tc>
        <w:tc>
          <w:tcPr>
            <w:tcW w:w="1269" w:type="dxa"/>
            <w:vAlign w:val="center"/>
          </w:tcPr>
          <w:p>
            <w:pPr>
              <w:rPr>
                <w:rFonts w:hint="default" w:eastAsia="宋体"/>
                <w:color w:val="000000" w:themeColor="text1"/>
                <w:szCs w:val="21"/>
                <w:lang w:val="en-US" w:eastAsia="zh-CN"/>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6.1</w:t>
            </w:r>
            <w:r>
              <w:rPr>
                <w:rFonts w:hint="eastAsia"/>
                <w:color w:val="000000" w:themeColor="text1"/>
                <w:szCs w:val="21"/>
                <w:lang w:val="en-US" w:eastAsia="zh-CN"/>
              </w:rPr>
              <w:t>.2</w:t>
            </w:r>
          </w:p>
          <w:p>
            <w:pPr>
              <w:rPr>
                <w:color w:val="000000" w:themeColor="text1"/>
                <w:szCs w:val="21"/>
              </w:rPr>
            </w:pPr>
          </w:p>
        </w:tc>
        <w:tc>
          <w:tcPr>
            <w:tcW w:w="10947" w:type="dxa"/>
            <w:vAlign w:val="center"/>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p>
          <w:p>
            <w:pPr>
              <w:rPr>
                <w:rFonts w:ascii="宋体"/>
                <w:b/>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w:t>
            </w:r>
            <w:r>
              <w:rPr>
                <w:rFonts w:hint="eastAsia"/>
                <w:color w:val="000000" w:themeColor="text1"/>
                <w:szCs w:val="21"/>
                <w:lang w:eastAsia="zh-CN"/>
              </w:rPr>
              <w:t>办公室</w:t>
            </w:r>
            <w:r>
              <w:rPr>
                <w:rFonts w:hint="eastAsia"/>
                <w:color w:val="000000" w:themeColor="text1"/>
                <w:szCs w:val="21"/>
              </w:rPr>
              <w:t>涉及的重要环境因素：固废排放、意外火灾的发生，评价基本合理。</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运行控制</w:t>
            </w: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8.1</w:t>
            </w:r>
          </w:p>
          <w:p>
            <w:pPr>
              <w:spacing w:line="280" w:lineRule="exact"/>
              <w:rPr>
                <w:rFonts w:asciiTheme="minorEastAsia" w:hAnsiTheme="minorEastAsia" w:eastAsiaTheme="minorEastAsia" w:cstheme="minorEastAsia"/>
                <w:color w:val="000000" w:themeColor="text1"/>
                <w:szCs w:val="21"/>
              </w:rPr>
            </w:pPr>
          </w:p>
        </w:tc>
        <w:tc>
          <w:tcPr>
            <w:tcW w:w="10947" w:type="dxa"/>
            <w:vAlign w:val="center"/>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color w:val="000000" w:themeColor="text1"/>
                <w:szCs w:val="21"/>
                <w:lang w:val="en-GB"/>
              </w:rPr>
              <w:t>、车辆管理规定</w:t>
            </w:r>
            <w:r>
              <w:rPr>
                <w:rFonts w:hint="eastAsia" w:asciiTheme="minorEastAsia" w:hAnsiTheme="minorEastAsia" w:eastAsiaTheme="minorEastAsia" w:cstheme="minorEastAsia"/>
                <w:color w:val="000000" w:themeColor="text1"/>
                <w:szCs w:val="21"/>
              </w:rPr>
              <w:t>等。</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办公用品按要求由</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szCs w:val="21"/>
                <w:lang w:val="en-GB"/>
              </w:rPr>
              <w:t>负责发放，作好记录；</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lang w:val="en-GB"/>
              </w:rPr>
              <w:t>公司办公产生的废硒鼓、废墨盒、色带由供应方公司回收；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查：废弃物回收处理登记表。</w:t>
            </w:r>
            <w:r>
              <w:rPr>
                <w:rFonts w:hint="eastAsia" w:asciiTheme="minorEastAsia" w:hAnsiTheme="minorEastAsia" w:eastAsiaTheme="minorEastAsia" w:cstheme="minorEastAsia"/>
                <w:color w:val="000000" w:themeColor="text1"/>
                <w:szCs w:val="21"/>
                <w:lang w:val="en-GB"/>
              </w:rPr>
              <w:t>废弃物种类、排放量 、日期</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、统计人、处置办法、废硒鼓墨盒、</w:t>
            </w:r>
            <w:r>
              <w:rPr>
                <w:rFonts w:hint="eastAsia" w:asciiTheme="minorEastAsia" w:hAnsiTheme="minorEastAsia" w:eastAsiaTheme="minorEastAsia" w:cstheme="minorEastAsia"/>
                <w:color w:val="000000" w:themeColor="text1"/>
                <w:szCs w:val="21"/>
              </w:rPr>
              <w:t>6</w:t>
            </w:r>
            <w:r>
              <w:rPr>
                <w:rFonts w:hint="eastAsia" w:asciiTheme="minorEastAsia" w:hAnsiTheme="minorEastAsia" w:eastAsiaTheme="minorEastAsia" w:cstheme="minorEastAsia"/>
                <w:color w:val="000000" w:themeColor="text1"/>
                <w:szCs w:val="21"/>
                <w:lang w:val="en-GB"/>
              </w:rPr>
              <w:t>个  2019.</w:t>
            </w:r>
            <w:r>
              <w:rPr>
                <w:rFonts w:hint="eastAsia" w:asciiTheme="minorEastAsia" w:hAnsiTheme="minorEastAsia" w:eastAsiaTheme="minorEastAsia" w:cstheme="minorEastAsia"/>
                <w:color w:val="000000" w:themeColor="text1"/>
                <w:szCs w:val="21"/>
                <w:lang w:val="en-US" w:eastAsia="zh-CN"/>
              </w:rPr>
              <w:t>12</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22</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 xml:space="preserve"> </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 xml:space="preserve">  集中存放交供应商</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GB"/>
              </w:rPr>
              <w:t>生活垃圾  随时</w:t>
            </w:r>
            <w:r>
              <w:rPr>
                <w:rFonts w:hint="eastAsia" w:asciiTheme="minorEastAsia" w:hAnsiTheme="minorEastAsia" w:eastAsiaTheme="minorEastAsia" w:cstheme="minorEastAsia"/>
                <w:color w:val="000000" w:themeColor="text1"/>
                <w:szCs w:val="21"/>
                <w:lang w:val="en-GB"/>
              </w:rPr>
              <w:tab/>
            </w:r>
            <w:r>
              <w:rPr>
                <w:rFonts w:hint="eastAsia" w:asciiTheme="minorEastAsia" w:hAnsiTheme="minorEastAsia" w:eastAsiaTheme="minorEastAsia" w:cstheme="minorEastAsia"/>
                <w:color w:val="000000" w:themeColor="text1"/>
                <w:szCs w:val="21"/>
                <w:lang w:val="en-GB"/>
              </w:rPr>
              <w:t>环卫所，查到公司为员工缴纳了养老、工伤、医疗等保险。提供了缴纳保险的</w:t>
            </w:r>
            <w:r>
              <w:rPr>
                <w:rFonts w:hint="eastAsia" w:asciiTheme="minorEastAsia" w:hAnsiTheme="minorEastAsia" w:eastAsiaTheme="minorEastAsia" w:cstheme="minorEastAsia"/>
                <w:color w:val="000000" w:themeColor="text1"/>
                <w:szCs w:val="21"/>
              </w:rPr>
              <w:t>票据及社会保险在职人员信息统计表。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现场查看办公区域配备有符合要求的灭火器，</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szCs w:val="21"/>
              </w:rPr>
              <w:t>设备、电器状态良好，无安全隐患。</w:t>
            </w:r>
          </w:p>
          <w:p>
            <w:pPr>
              <w:pStyle w:val="2"/>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Cs w:val="0"/>
                <w:color w:val="000000" w:themeColor="text1"/>
                <w:spacing w:val="0"/>
                <w:szCs w:val="21"/>
              </w:rPr>
              <w:t>提供了20</w:t>
            </w:r>
            <w:r>
              <w:rPr>
                <w:rFonts w:hint="eastAsia" w:asciiTheme="minorEastAsia" w:hAnsiTheme="minorEastAsia" w:eastAsiaTheme="minorEastAsia" w:cstheme="minorEastAsia"/>
                <w:bCs w:val="0"/>
                <w:color w:val="000000" w:themeColor="text1"/>
                <w:spacing w:val="0"/>
                <w:szCs w:val="21"/>
                <w:lang w:val="en-US" w:eastAsia="zh-CN"/>
              </w:rPr>
              <w:t>20</w:t>
            </w:r>
            <w:r>
              <w:rPr>
                <w:rFonts w:hint="eastAsia" w:asciiTheme="minorEastAsia" w:hAnsiTheme="minorEastAsia" w:eastAsiaTheme="minorEastAsia" w:cstheme="minorEastAsia"/>
                <w:bCs w:val="0"/>
                <w:color w:val="000000" w:themeColor="text1"/>
                <w:spacing w:val="0"/>
                <w:szCs w:val="21"/>
              </w:rPr>
              <w:t>年</w:t>
            </w:r>
            <w:r>
              <w:rPr>
                <w:rFonts w:hint="eastAsia" w:asciiTheme="minorEastAsia" w:hAnsiTheme="minorEastAsia" w:eastAsiaTheme="minorEastAsia" w:cstheme="minorEastAsia"/>
                <w:bCs w:val="0"/>
                <w:color w:val="000000" w:themeColor="text1"/>
                <w:spacing w:val="0"/>
                <w:szCs w:val="21"/>
                <w:lang w:val="en-US" w:eastAsia="zh-CN"/>
              </w:rPr>
              <w:t>1</w:t>
            </w:r>
            <w:r>
              <w:rPr>
                <w:rFonts w:hint="eastAsia" w:asciiTheme="minorEastAsia" w:hAnsiTheme="minorEastAsia" w:eastAsiaTheme="minorEastAsia" w:cstheme="minorEastAsia"/>
                <w:bCs w:val="0"/>
                <w:color w:val="000000" w:themeColor="text1"/>
                <w:spacing w:val="0"/>
                <w:szCs w:val="21"/>
              </w:rPr>
              <w:t>-</w:t>
            </w:r>
            <w:r>
              <w:rPr>
                <w:rFonts w:hint="eastAsia" w:asciiTheme="minorEastAsia" w:hAnsiTheme="minorEastAsia" w:eastAsiaTheme="minorEastAsia" w:cstheme="minorEastAsia"/>
                <w:bCs w:val="0"/>
                <w:color w:val="000000" w:themeColor="text1"/>
                <w:spacing w:val="0"/>
                <w:szCs w:val="21"/>
                <w:lang w:val="en-US" w:eastAsia="zh-CN"/>
              </w:rPr>
              <w:t>3</w:t>
            </w:r>
            <w:r>
              <w:rPr>
                <w:rFonts w:hint="eastAsia" w:asciiTheme="minorEastAsia" w:hAnsiTheme="minorEastAsia" w:eastAsiaTheme="minorEastAsia" w:cstheme="minorEastAsia"/>
                <w:bCs w:val="0"/>
                <w:color w:val="000000" w:themeColor="text1"/>
                <w:spacing w:val="0"/>
                <w:szCs w:val="21"/>
              </w:rPr>
              <w:t>月份工作职业安全检查表，抽查：办公环境、卫生、安全等情况进行了检查，检查人：</w:t>
            </w:r>
            <w:r>
              <w:rPr>
                <w:rFonts w:hint="eastAsia"/>
              </w:rPr>
              <w:t>彭元辉</w:t>
            </w:r>
            <w:r>
              <w:rPr>
                <w:rFonts w:hint="eastAsia" w:asciiTheme="minorEastAsia" w:hAnsiTheme="minorEastAsia" w:eastAsiaTheme="minorEastAsia" w:cstheme="minorEastAsia"/>
                <w:bCs w:val="0"/>
                <w:color w:val="000000" w:themeColor="text1"/>
                <w:spacing w:val="0"/>
                <w:szCs w:val="21"/>
              </w:rPr>
              <w:t>，无问题。公司</w:t>
            </w:r>
            <w:r>
              <w:rPr>
                <w:rFonts w:hint="eastAsia" w:asciiTheme="minorEastAsia" w:hAnsiTheme="minorEastAsia" w:eastAsiaTheme="minorEastAsia" w:cstheme="minorEastAsia"/>
                <w:color w:val="000000" w:themeColor="text1"/>
                <w:szCs w:val="21"/>
              </w:rPr>
              <w:t>无食堂。</w:t>
            </w:r>
          </w:p>
        </w:tc>
        <w:tc>
          <w:tcPr>
            <w:tcW w:w="837"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应急准备和响应</w:t>
            </w:r>
          </w:p>
        </w:tc>
        <w:tc>
          <w:tcPr>
            <w:tcW w:w="1269" w:type="dxa"/>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8.2</w:t>
            </w:r>
          </w:p>
          <w:p>
            <w:pPr>
              <w:spacing w:line="280" w:lineRule="exact"/>
              <w:rPr>
                <w:rFonts w:asciiTheme="minorEastAsia" w:hAnsiTheme="minorEastAsia" w:eastAsiaTheme="minorEastAsia" w:cstheme="minorEastAsia"/>
                <w:color w:val="000000" w:themeColor="text1"/>
                <w:szCs w:val="21"/>
              </w:rPr>
            </w:pPr>
          </w:p>
        </w:tc>
        <w:tc>
          <w:tcPr>
            <w:tcW w:w="10947" w:type="dxa"/>
            <w:vAlign w:val="center"/>
          </w:tcPr>
          <w:p>
            <w:pPr>
              <w:spacing w:line="28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见</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kern w:val="0"/>
                <w:szCs w:val="21"/>
              </w:rPr>
              <w:t>E</w:t>
            </w:r>
            <w:r>
              <w:rPr>
                <w:rFonts w:hint="eastAsia" w:asciiTheme="minorEastAsia" w:hAnsiTheme="minorEastAsia" w:eastAsiaTheme="minorEastAsia" w:cstheme="minorEastAsia"/>
                <w:color w:val="000000" w:themeColor="text1"/>
                <w:kern w:val="0"/>
                <w:szCs w:val="21"/>
                <w:lang w:val="en-US" w:eastAsia="zh-CN"/>
              </w:rPr>
              <w:t>S</w:t>
            </w:r>
            <w:r>
              <w:rPr>
                <w:rFonts w:hint="eastAsia" w:asciiTheme="minorEastAsia" w:hAnsiTheme="minorEastAsia" w:eastAsiaTheme="minorEastAsia" w:cstheme="minorEastAsia"/>
                <w:color w:val="000000" w:themeColor="text1"/>
                <w:kern w:val="0"/>
                <w:szCs w:val="21"/>
              </w:rPr>
              <w:t>8.2审核记录。</w:t>
            </w:r>
          </w:p>
        </w:tc>
        <w:tc>
          <w:tcPr>
            <w:tcW w:w="837" w:type="dxa"/>
          </w:tcPr>
          <w:p>
            <w:pPr>
              <w:rPr>
                <w:rFonts w:asciiTheme="minorEastAsia" w:hAnsiTheme="minorEastAsia" w:eastAsiaTheme="minorEastAsia" w:cstheme="minorEastAsia"/>
                <w:color w:val="000000" w:themeColor="text1"/>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0C13339"/>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1E280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6754595"/>
    <w:rsid w:val="37BC647C"/>
    <w:rsid w:val="37C47C75"/>
    <w:rsid w:val="37F072AB"/>
    <w:rsid w:val="383A5CE5"/>
    <w:rsid w:val="38CC6BF0"/>
    <w:rsid w:val="38D218EE"/>
    <w:rsid w:val="393E0141"/>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9C73D07"/>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203DAE"/>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0C02A4"/>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2</TotalTime>
  <ScaleCrop>false</ScaleCrop>
  <LinksUpToDate>false</LinksUpToDate>
  <CharactersWithSpaces>5059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2021-08-10T13:35:16Z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74BACEDD65404ACE8F20F28BD4906034</vt:lpwstr>
  </property>
</Properties>
</file>