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67"/>
        <w:gridCol w:w="10587"/>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6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7" w:type="dxa"/>
            <w:vAlign w:val="center"/>
          </w:tcPr>
          <w:p>
            <w:pPr>
              <w:rPr>
                <w:sz w:val="24"/>
                <w:szCs w:val="24"/>
              </w:rPr>
            </w:pPr>
            <w:r>
              <w:rPr>
                <w:rFonts w:hint="eastAsia"/>
                <w:sz w:val="24"/>
                <w:szCs w:val="24"/>
              </w:rPr>
              <w:t>受审核部门：管理层(含安全事务代表）</w:t>
            </w:r>
          </w:p>
          <w:p>
            <w:pPr>
              <w:rPr>
                <w:sz w:val="24"/>
                <w:szCs w:val="24"/>
              </w:rPr>
            </w:pPr>
            <w:r>
              <w:rPr>
                <w:rFonts w:hint="eastAsia"/>
                <w:sz w:val="24"/>
                <w:szCs w:val="24"/>
              </w:rPr>
              <w:t>主管领导：总经理：卢永芝  管代:陈建华   安全事务代表: 邢蕾     陪同人员：陈建华</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67" w:type="dxa"/>
            <w:vMerge w:val="continue"/>
            <w:vAlign w:val="center"/>
          </w:tcPr>
          <w:p/>
        </w:tc>
        <w:tc>
          <w:tcPr>
            <w:tcW w:w="10587" w:type="dxa"/>
            <w:vAlign w:val="center"/>
          </w:tcPr>
          <w:p>
            <w:pPr>
              <w:rPr>
                <w:sz w:val="24"/>
                <w:szCs w:val="24"/>
              </w:rPr>
            </w:pPr>
            <w:r>
              <w:rPr>
                <w:rFonts w:hint="eastAsia"/>
                <w:sz w:val="24"/>
                <w:szCs w:val="24"/>
              </w:rPr>
              <w:t>审核员：李雅静              审核时间：202</w:t>
            </w:r>
            <w:r>
              <w:rPr>
                <w:sz w:val="24"/>
                <w:szCs w:val="24"/>
              </w:rPr>
              <w:t>1</w:t>
            </w:r>
            <w:r>
              <w:rPr>
                <w:rFonts w:hint="eastAsia"/>
                <w:sz w:val="24"/>
                <w:szCs w:val="24"/>
              </w:rPr>
              <w:t>年8月16日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67" w:type="dxa"/>
            <w:vMerge w:val="continue"/>
            <w:vAlign w:val="center"/>
          </w:tcPr>
          <w:p/>
        </w:tc>
        <w:tc>
          <w:tcPr>
            <w:tcW w:w="10587" w:type="dxa"/>
            <w:vAlign w:val="center"/>
          </w:tcPr>
          <w:p>
            <w:pPr>
              <w:rPr>
                <w:sz w:val="24"/>
                <w:szCs w:val="24"/>
              </w:rPr>
            </w:pPr>
            <w:r>
              <w:rPr>
                <w:rFonts w:hint="eastAsia"/>
                <w:sz w:val="24"/>
                <w:szCs w:val="24"/>
              </w:rPr>
              <w:t>审核条款：</w:t>
            </w:r>
          </w:p>
          <w:p>
            <w:pPr>
              <w:rPr>
                <w:sz w:val="24"/>
                <w:szCs w:val="24"/>
              </w:rPr>
            </w:pPr>
            <w:r>
              <w:rPr>
                <w:sz w:val="24"/>
                <w:szCs w:val="24"/>
              </w:rPr>
              <w:t>ES:4.1/4.2/4.3/4.4/5.1/5.2/5.3/6.1.1/6.1.4/6.2/7.1/7.4/9.1.1/9.3/10.1/10.3</w:t>
            </w:r>
          </w:p>
          <w:p>
            <w:pPr>
              <w:rPr>
                <w:sz w:val="24"/>
                <w:szCs w:val="24"/>
              </w:rPr>
            </w:pPr>
            <w:r>
              <w:rPr>
                <w:sz w:val="24"/>
                <w:szCs w:val="24"/>
              </w:rPr>
              <w:t>S:5.4</w:t>
            </w:r>
          </w:p>
          <w:p>
            <w:pPr>
              <w:rPr>
                <w:sz w:val="24"/>
                <w:szCs w:val="24"/>
              </w:rPr>
            </w:pPr>
            <w:r>
              <w:rPr>
                <w:rFonts w:hint="eastAsia"/>
                <w:sz w:val="24"/>
                <w:szCs w:val="24"/>
              </w:rPr>
              <w:t>资质验证/范围再确认/</w:t>
            </w:r>
            <w:r>
              <w:rPr>
                <w:rFonts w:hint="eastAsia"/>
                <w:sz w:val="24"/>
                <w:szCs w:val="24"/>
                <w:lang w:val="en-US" w:eastAsia="zh-CN"/>
              </w:rPr>
              <w:t>上次审核</w:t>
            </w:r>
            <w:r>
              <w:rPr>
                <w:rFonts w:hint="eastAsia"/>
                <w:sz w:val="24"/>
                <w:szCs w:val="24"/>
              </w:rPr>
              <w:t>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67" w:type="dxa"/>
          </w:tcPr>
          <w:p>
            <w:pPr>
              <w:spacing w:line="280" w:lineRule="exact"/>
            </w:pPr>
            <w:r>
              <w:rPr>
                <w:rFonts w:hint="eastAsia" w:ascii="宋体" w:hAnsi="宋体" w:cs="宋体"/>
                <w:szCs w:val="21"/>
              </w:rPr>
              <w:t>E</w:t>
            </w:r>
            <w:r>
              <w:rPr>
                <w:rFonts w:ascii="宋体" w:hAnsi="宋体" w:cs="宋体"/>
                <w:szCs w:val="21"/>
              </w:rPr>
              <w:t>S4.1</w:t>
            </w:r>
          </w:p>
        </w:tc>
        <w:tc>
          <w:tcPr>
            <w:tcW w:w="10587" w:type="dxa"/>
            <w:vAlign w:val="center"/>
          </w:tcPr>
          <w:p>
            <w:pPr>
              <w:rPr>
                <w:sz w:val="24"/>
                <w:szCs w:val="24"/>
              </w:rPr>
            </w:pPr>
            <w:r>
              <w:rPr>
                <w:rFonts w:hint="eastAsia"/>
                <w:sz w:val="24"/>
                <w:szCs w:val="24"/>
              </w:rPr>
              <w:t>北京捷睿罗科技有限公司  ，成立于2015-04-13 至 2035-04-12，企业信用代码</w:t>
            </w:r>
            <w:r>
              <w:rPr>
                <w:sz w:val="24"/>
                <w:szCs w:val="24"/>
              </w:rPr>
              <w:t>911101083396866116</w:t>
            </w:r>
          </w:p>
          <w:p>
            <w:pPr>
              <w:rPr>
                <w:sz w:val="24"/>
                <w:szCs w:val="24"/>
              </w:rPr>
            </w:pPr>
            <w:r>
              <w:rPr>
                <w:rFonts w:hint="eastAsia"/>
                <w:sz w:val="24"/>
                <w:szCs w:val="24"/>
              </w:rPr>
              <w:t>注册资本为1000万元的有限责任公司。较上一年没有发生变化</w:t>
            </w:r>
          </w:p>
          <w:p>
            <w:pPr>
              <w:rPr>
                <w:sz w:val="24"/>
                <w:szCs w:val="24"/>
              </w:rPr>
            </w:pPr>
            <w:r>
              <w:rPr>
                <w:rFonts w:hint="eastAsia"/>
                <w:sz w:val="24"/>
                <w:szCs w:val="24"/>
              </w:rPr>
              <w:t>营业执照符合要求，见附件。</w:t>
            </w:r>
          </w:p>
          <w:p>
            <w:pPr>
              <w:rPr>
                <w:sz w:val="24"/>
                <w:szCs w:val="24"/>
              </w:rPr>
            </w:pPr>
            <w:r>
              <w:rPr>
                <w:rFonts w:hint="eastAsia"/>
                <w:sz w:val="24"/>
                <w:szCs w:val="24"/>
              </w:rPr>
              <w:t xml:space="preserve"> 2019年11月10日进行管理手册换版，依据GB/T19001-2016 idt ISO9001:2015、GB/T24001-2016 idt ISO14001:2015、GB/T45001-2020/ISO45001:2018，版本为A/1 版</w:t>
            </w:r>
          </w:p>
          <w:p>
            <w:pPr>
              <w:rPr>
                <w:sz w:val="24"/>
                <w:szCs w:val="24"/>
              </w:rPr>
            </w:pPr>
            <w:r>
              <w:rPr>
                <w:rFonts w:hint="eastAsia"/>
                <w:sz w:val="24"/>
                <w:szCs w:val="24"/>
              </w:rPr>
              <w:t>公司管理体系设置了销售部、综合部，无变化</w:t>
            </w:r>
          </w:p>
          <w:p>
            <w:pPr>
              <w:rPr>
                <w:sz w:val="24"/>
                <w:szCs w:val="24"/>
              </w:rPr>
            </w:pPr>
            <w:r>
              <w:rPr>
                <w:rFonts w:hint="eastAsia"/>
                <w:sz w:val="24"/>
                <w:szCs w:val="24"/>
              </w:rPr>
              <w:t>总经理卢永芝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67"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S</w:t>
            </w:r>
            <w:r>
              <w:rPr>
                <w:rFonts w:hint="eastAsia" w:ascii="宋体" w:hAnsi="宋体" w:cs="宋体"/>
                <w:szCs w:val="21"/>
              </w:rPr>
              <w:t>4.2</w:t>
            </w:r>
          </w:p>
          <w:p>
            <w:pPr>
              <w:spacing w:line="280" w:lineRule="exact"/>
            </w:pPr>
          </w:p>
        </w:tc>
        <w:tc>
          <w:tcPr>
            <w:tcW w:w="10587" w:type="dxa"/>
            <w:vAlign w:val="center"/>
          </w:tcPr>
          <w:p>
            <w:pPr>
              <w:rPr>
                <w:sz w:val="24"/>
                <w:szCs w:val="24"/>
              </w:rPr>
            </w:pPr>
            <w:r>
              <w:rPr>
                <w:rFonts w:hint="eastAsia"/>
                <w:sz w:val="24"/>
                <w:szCs w:val="24"/>
              </w:rPr>
              <w:t>公司对这些相关方及其要求的相关信息进行监视和评审，以便于理解和持续满足相关方的需求和期望。</w:t>
            </w:r>
          </w:p>
          <w:p>
            <w:pPr>
              <w:rPr>
                <w:sz w:val="24"/>
                <w:szCs w:val="24"/>
              </w:rPr>
            </w:pPr>
            <w:r>
              <w:rPr>
                <w:rFonts w:hint="eastAsia"/>
                <w:sz w:val="24"/>
                <w:szCs w:val="24"/>
              </w:rPr>
              <w:t>本公司考虑以下相关方：--顾客；--最终用户或受益人；股东；---外部供应商；--雇员及其他为组织工作者；--法律法规及监管机关；--地方社区团体；--非政府组织等。</w:t>
            </w:r>
          </w:p>
          <w:p>
            <w:pPr>
              <w:rPr>
                <w:sz w:val="24"/>
                <w:szCs w:val="24"/>
              </w:rPr>
            </w:pPr>
            <w:r>
              <w:rPr>
                <w:rFonts w:hint="eastAsia"/>
                <w:sz w:val="24"/>
                <w:szCs w:val="24"/>
              </w:rPr>
              <w:t>目前顾客的主要需求期望是：提供顾客满意的服务。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67"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S</w:t>
            </w:r>
            <w:r>
              <w:rPr>
                <w:rFonts w:hint="eastAsia" w:ascii="宋体" w:hAnsi="宋体" w:cs="宋体"/>
                <w:szCs w:val="21"/>
              </w:rPr>
              <w:t xml:space="preserve"> 4.3</w:t>
            </w:r>
          </w:p>
          <w:p>
            <w:pPr>
              <w:spacing w:line="280" w:lineRule="exact"/>
            </w:pPr>
          </w:p>
        </w:tc>
        <w:tc>
          <w:tcPr>
            <w:tcW w:w="10587" w:type="dxa"/>
            <w:vAlign w:val="center"/>
          </w:tcPr>
          <w:p>
            <w:pPr>
              <w:rPr>
                <w:sz w:val="24"/>
                <w:szCs w:val="24"/>
              </w:rPr>
            </w:pPr>
            <w:r>
              <w:rPr>
                <w:rFonts w:hint="eastAsia"/>
                <w:sz w:val="24"/>
                <w:szCs w:val="24"/>
              </w:rPr>
              <w:t>公司管理体系范围为：</w:t>
            </w:r>
          </w:p>
          <w:p>
            <w:pPr>
              <w:spacing w:after="0"/>
              <w:rPr>
                <w:sz w:val="24"/>
                <w:szCs w:val="24"/>
              </w:rPr>
            </w:pPr>
            <w:r>
              <w:rPr>
                <w:rFonts w:hint="eastAsia"/>
                <w:sz w:val="24"/>
                <w:szCs w:val="24"/>
              </w:rPr>
              <w:t>E：五金交电、机械设备、电器设备的进出口及销售，航空专业技术咨询及相关环境管理活动</w:t>
            </w:r>
          </w:p>
          <w:p>
            <w:pPr>
              <w:rPr>
                <w:sz w:val="24"/>
                <w:szCs w:val="24"/>
              </w:rPr>
            </w:pPr>
            <w:r>
              <w:rPr>
                <w:rFonts w:hint="eastAsia"/>
                <w:sz w:val="24"/>
                <w:szCs w:val="24"/>
              </w:rPr>
              <w:t>O：五金交电、机械设备、电器设备的进出口及销售，航空专业技术咨询及相关职业健康安全管理活动</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67"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S</w:t>
            </w:r>
            <w:r>
              <w:rPr>
                <w:rFonts w:hint="eastAsia" w:ascii="宋体" w:hAnsi="宋体" w:cs="宋体"/>
                <w:szCs w:val="21"/>
              </w:rPr>
              <w:t>4.4</w:t>
            </w:r>
          </w:p>
          <w:p>
            <w:pPr>
              <w:spacing w:line="280" w:lineRule="exact"/>
            </w:pPr>
          </w:p>
        </w:tc>
        <w:tc>
          <w:tcPr>
            <w:tcW w:w="10587" w:type="dxa"/>
            <w:vAlign w:val="center"/>
          </w:tcPr>
          <w:p>
            <w:pPr>
              <w:rPr>
                <w:sz w:val="24"/>
                <w:szCs w:val="24"/>
              </w:rPr>
            </w:pPr>
            <w:r>
              <w:rPr>
                <w:rFonts w:hint="eastAsia"/>
                <w:sz w:val="24"/>
                <w:szCs w:val="24"/>
              </w:rPr>
              <w:t>该公司2019年11月10日根据自身的实际情况和标准的要求组织人员编制了新版A/1版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2021年管理目标分解及完成情况记录。</w:t>
            </w:r>
          </w:p>
          <w:p>
            <w:pPr>
              <w:rPr>
                <w:sz w:val="24"/>
                <w:szCs w:val="24"/>
              </w:rPr>
            </w:pPr>
            <w:r>
              <w:rPr>
                <w:rFonts w:hint="eastAsia"/>
                <w:sz w:val="24"/>
                <w:szCs w:val="24"/>
              </w:rPr>
              <w:t>与负责人交流：部门确定了满足与管理体系有关的客户及相关方的要求。</w:t>
            </w:r>
          </w:p>
          <w:p>
            <w:pPr>
              <w:rPr>
                <w:sz w:val="24"/>
                <w:szCs w:val="24"/>
              </w:rPr>
            </w:pPr>
            <w:r>
              <w:rPr>
                <w:rFonts w:hint="eastAsia"/>
                <w:sz w:val="24"/>
                <w:szCs w:val="24"/>
              </w:rPr>
              <w:t>1.公司通过监视和评审有关相关方及其有关要求的信息，实现持续改进</w:t>
            </w:r>
          </w:p>
          <w:p>
            <w:pPr>
              <w:rPr>
                <w:sz w:val="24"/>
                <w:szCs w:val="24"/>
              </w:rPr>
            </w:pPr>
            <w:r>
              <w:rPr>
                <w:rFonts w:hint="eastAsia"/>
                <w:sz w:val="24"/>
                <w:szCs w:val="24"/>
              </w:rPr>
              <w:t>2. 应对风险的措施：</w:t>
            </w:r>
          </w:p>
          <w:p>
            <w:pPr>
              <w:rPr>
                <w:sz w:val="24"/>
                <w:szCs w:val="24"/>
              </w:rPr>
            </w:pPr>
            <w:r>
              <w:rPr>
                <w:rFonts w:hint="eastAsia"/>
                <w:sz w:val="24"/>
                <w:szCs w:val="24"/>
              </w:rPr>
              <w:t>a) 通过供应商的选择和评定来控制风险，选择供应商时考核其资质及其提供合格产品和合格服务的能力，应与客户需求相匹配。</w:t>
            </w:r>
          </w:p>
          <w:p>
            <w:pPr>
              <w:rPr>
                <w:sz w:val="24"/>
                <w:szCs w:val="24"/>
              </w:rPr>
            </w:pPr>
            <w:r>
              <w:rPr>
                <w:rFonts w:hint="eastAsia"/>
                <w:sz w:val="24"/>
                <w:szCs w:val="24"/>
              </w:rPr>
              <w:t>b)通过签订客户协议和供应商协议的条款把控风险等。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67"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587" w:type="dxa"/>
            <w:vAlign w:val="center"/>
          </w:tcPr>
          <w:p>
            <w:pPr>
              <w:rPr>
                <w:sz w:val="24"/>
                <w:szCs w:val="24"/>
              </w:rPr>
            </w:pPr>
            <w:r>
              <w:rPr>
                <w:rFonts w:hint="eastAsia"/>
                <w:sz w:val="24"/>
                <w:szCs w:val="24"/>
              </w:rPr>
              <w:t>公司总经理卢永芝介绍主要承诺有：</w:t>
            </w:r>
          </w:p>
          <w:p>
            <w:pPr>
              <w:rPr>
                <w:sz w:val="24"/>
                <w:szCs w:val="24"/>
              </w:rPr>
            </w:pPr>
            <w:r>
              <w:rPr>
                <w:rFonts w:hint="eastAsia"/>
                <w:sz w:val="24"/>
                <w:szCs w:val="24"/>
              </w:rPr>
              <w:t>1)对管理体系的有效性要承担责任；</w:t>
            </w:r>
          </w:p>
          <w:p>
            <w:pPr>
              <w:rPr>
                <w:sz w:val="24"/>
                <w:szCs w:val="24"/>
              </w:rPr>
            </w:pPr>
            <w:r>
              <w:rPr>
                <w:rFonts w:hint="eastAsia"/>
                <w:sz w:val="24"/>
                <w:szCs w:val="24"/>
              </w:rPr>
              <w:t>2)建立公司的管理方针和目标并确保与公司的环境相适应，与公司战略方向保持一致以及方针在公司内得到沟通理解和有效实施； </w:t>
            </w:r>
          </w:p>
          <w:p>
            <w:pPr>
              <w:rPr>
                <w:sz w:val="24"/>
                <w:szCs w:val="24"/>
              </w:rPr>
            </w:pPr>
            <w:r>
              <w:rPr>
                <w:rFonts w:hint="eastAsia"/>
                <w:sz w:val="24"/>
                <w:szCs w:val="24"/>
              </w:rPr>
              <w:t>3）确保管理体系要求融入公司的物业管理及城市垃圾收集各过程。</w:t>
            </w:r>
          </w:p>
          <w:p>
            <w:pPr>
              <w:rPr>
                <w:sz w:val="24"/>
                <w:szCs w:val="24"/>
              </w:rPr>
            </w:pPr>
            <w:r>
              <w:rPr>
                <w:rFonts w:hint="eastAsia"/>
                <w:sz w:val="24"/>
                <w:szCs w:val="24"/>
              </w:rPr>
              <w:t>4）促进使用过程方法和机遇风险的思维。</w:t>
            </w:r>
          </w:p>
          <w:p>
            <w:pPr>
              <w:rPr>
                <w:sz w:val="24"/>
                <w:szCs w:val="24"/>
              </w:rPr>
            </w:pPr>
            <w:r>
              <w:rPr>
                <w:rFonts w:hint="eastAsia"/>
                <w:sz w:val="24"/>
                <w:szCs w:val="24"/>
              </w:rPr>
              <w:t>5)建立合理的公司组织结构,确保管理体系所需资源能被获得；</w:t>
            </w:r>
          </w:p>
          <w:p>
            <w:pPr>
              <w:rPr>
                <w:sz w:val="24"/>
                <w:szCs w:val="24"/>
              </w:rPr>
            </w:pPr>
            <w:r>
              <w:rPr>
                <w:rFonts w:hint="eastAsia"/>
                <w:sz w:val="24"/>
                <w:szCs w:val="24"/>
              </w:rPr>
              <w:t>6)建立良好的沟通机制，杜绝因沟通影响管理体系运行有效性；</w:t>
            </w:r>
          </w:p>
          <w:p>
            <w:pPr>
              <w:rPr>
                <w:sz w:val="24"/>
                <w:szCs w:val="24"/>
              </w:rPr>
            </w:pPr>
            <w:r>
              <w:rPr>
                <w:rFonts w:hint="eastAsia"/>
                <w:sz w:val="24"/>
                <w:szCs w:val="24"/>
              </w:rPr>
              <w:t>7）确保管理体系实现其预期的结果。</w:t>
            </w:r>
          </w:p>
          <w:p>
            <w:pPr>
              <w:rPr>
                <w:sz w:val="24"/>
                <w:szCs w:val="24"/>
              </w:rPr>
            </w:pPr>
            <w:r>
              <w:rPr>
                <w:rFonts w:hint="eastAsia"/>
                <w:sz w:val="24"/>
                <w:szCs w:val="24"/>
              </w:rPr>
              <w:t>8)促使员工积极参与，指导和支持他们为公司管理体系的有效性作出贡献。</w:t>
            </w:r>
          </w:p>
          <w:p>
            <w:pPr>
              <w:rPr>
                <w:sz w:val="24"/>
                <w:szCs w:val="24"/>
              </w:rPr>
            </w:pPr>
            <w:r>
              <w:rPr>
                <w:rFonts w:hint="eastAsia"/>
                <w:sz w:val="24"/>
                <w:szCs w:val="24"/>
              </w:rPr>
              <w:t>9）推动公司改进和创新；</w:t>
            </w:r>
          </w:p>
          <w:p>
            <w:pPr>
              <w:rPr>
                <w:sz w:val="24"/>
                <w:szCs w:val="24"/>
              </w:rPr>
            </w:pPr>
            <w:r>
              <w:rPr>
                <w:rFonts w:hint="eastAsia"/>
                <w:sz w:val="24"/>
                <w:szCs w:val="24"/>
              </w:rPr>
              <w:t>10)做好管理岗位的任命，公司内部公开发布任命书，以支持其他管理者在其负责领域证实其领导作用；</w:t>
            </w:r>
          </w:p>
          <w:p>
            <w:pPr>
              <w:rPr>
                <w:sz w:val="24"/>
                <w:szCs w:val="24"/>
              </w:rPr>
            </w:pPr>
            <w:r>
              <w:rPr>
                <w:rFonts w:hint="eastAsia"/>
                <w:sz w:val="24"/>
                <w:szCs w:val="24"/>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rPr>
                <w:sz w:val="24"/>
                <w:szCs w:val="24"/>
              </w:rPr>
            </w:pPr>
            <w:r>
              <w:rPr>
                <w:rFonts w:hint="eastAsia"/>
                <w:sz w:val="24"/>
                <w:szCs w:val="24"/>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67"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S</w:t>
            </w:r>
            <w:r>
              <w:rPr>
                <w:rFonts w:hint="eastAsia" w:ascii="宋体" w:hAnsi="宋体" w:cs="宋体"/>
                <w:szCs w:val="21"/>
              </w:rPr>
              <w:t>5.2</w:t>
            </w:r>
          </w:p>
          <w:p>
            <w:pPr>
              <w:spacing w:line="280" w:lineRule="exact"/>
              <w:rPr>
                <w:rFonts w:ascii="宋体" w:hAnsi="宋体" w:cs="宋体"/>
                <w:szCs w:val="21"/>
              </w:rPr>
            </w:pPr>
          </w:p>
          <w:p>
            <w:pPr>
              <w:spacing w:line="280" w:lineRule="exact"/>
            </w:pPr>
          </w:p>
        </w:tc>
        <w:tc>
          <w:tcPr>
            <w:tcW w:w="10587" w:type="dxa"/>
            <w:vAlign w:val="center"/>
          </w:tcPr>
          <w:p>
            <w:pPr>
              <w:rPr>
                <w:sz w:val="24"/>
                <w:szCs w:val="24"/>
              </w:rPr>
            </w:pPr>
            <w:r>
              <w:rPr>
                <w:rFonts w:hint="eastAsia"/>
                <w:sz w:val="24"/>
                <w:szCs w:val="24"/>
              </w:rPr>
              <w:t>该公司管理方针</w:t>
            </w:r>
          </w:p>
          <w:p>
            <w:pPr>
              <w:rPr>
                <w:sz w:val="24"/>
                <w:szCs w:val="24"/>
              </w:rPr>
            </w:pPr>
            <w:r>
              <w:rPr>
                <w:rFonts w:hint="eastAsia"/>
                <w:sz w:val="24"/>
                <w:szCs w:val="24"/>
              </w:rPr>
              <w:t>守法诚信追求质量，预防污染保护环境；</w:t>
            </w:r>
          </w:p>
          <w:p>
            <w:pPr>
              <w:rPr>
                <w:sz w:val="24"/>
                <w:szCs w:val="24"/>
              </w:rPr>
            </w:pPr>
            <w:r>
              <w:rPr>
                <w:rFonts w:hint="eastAsia"/>
                <w:sz w:val="24"/>
                <w:szCs w:val="24"/>
              </w:rPr>
              <w:t xml:space="preserve"> 关爱员工健康安全，持续改进追求卓越。</w:t>
            </w:r>
          </w:p>
          <w:p>
            <w:pPr>
              <w:rPr>
                <w:sz w:val="24"/>
                <w:szCs w:val="24"/>
              </w:rPr>
            </w:pPr>
            <w:r>
              <w:rPr>
                <w:rFonts w:hint="eastAsia"/>
                <w:sz w:val="24"/>
                <w:szCs w:val="24"/>
              </w:rPr>
              <w:t>公司以环境、职业健康安全标准为基础，结合公司实际特制定管理方针。与总经理进行交谈，总经理卢永芝对方针内涵的理解较深刻。方针能为制定目标提供框架，方针基本符合标准的要求。没有变化</w:t>
            </w:r>
          </w:p>
          <w:p>
            <w:pPr>
              <w:ind w:firstLine="480" w:firstLineChars="200"/>
              <w:rPr>
                <w:sz w:val="24"/>
                <w:szCs w:val="24"/>
              </w:rPr>
            </w:pPr>
            <w:r>
              <w:rPr>
                <w:rFonts w:hint="eastAsia"/>
                <w:sz w:val="24"/>
                <w:szCs w:val="24"/>
              </w:rPr>
              <w:t>总经理用会议、文件等手段保证管理方针为全体员工理解并落实到工作中。卢永芝总经理说管理评审时对方针的持续适宜性进行了评审，有评审记录。</w:t>
            </w:r>
          </w:p>
          <w:p>
            <w:pPr>
              <w:ind w:firstLine="480" w:firstLineChars="200"/>
              <w:rPr>
                <w:sz w:val="24"/>
                <w:szCs w:val="24"/>
              </w:rPr>
            </w:pPr>
            <w:r>
              <w:rPr>
                <w:rFonts w:hint="eastAsia"/>
                <w:sz w:val="24"/>
                <w:szCs w:val="24"/>
              </w:rPr>
              <w:t>以上管理方针通过文件、培训等形式将公司管理方针传达给所有为公司工作或代表公司的人员，相关方也可通过综合部获取公司管理方针。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67" w:type="dxa"/>
          </w:tcPr>
          <w:p>
            <w:pPr>
              <w:spacing w:line="280" w:lineRule="exact"/>
              <w:rPr>
                <w:rFonts w:ascii="宋体" w:cs="宋体"/>
                <w:szCs w:val="21"/>
              </w:rPr>
            </w:pPr>
            <w:r>
              <w:rPr>
                <w:rFonts w:ascii="宋体" w:cs="宋体"/>
                <w:szCs w:val="21"/>
              </w:rPr>
              <w:t>ES5.3</w:t>
            </w:r>
          </w:p>
          <w:p>
            <w:pPr>
              <w:spacing w:line="280" w:lineRule="exact"/>
            </w:pPr>
            <w:r>
              <w:t>S5.4</w:t>
            </w:r>
          </w:p>
        </w:tc>
        <w:tc>
          <w:tcPr>
            <w:tcW w:w="10587" w:type="dxa"/>
            <w:vAlign w:val="center"/>
          </w:tcPr>
          <w:p>
            <w:pPr>
              <w:pStyle w:val="2"/>
              <w:rPr>
                <w:bCs w:val="0"/>
                <w:spacing w:val="0"/>
                <w:sz w:val="24"/>
                <w:szCs w:val="24"/>
              </w:rPr>
            </w:pPr>
            <w:r>
              <w:rPr>
                <w:rFonts w:hint="eastAsia"/>
                <w:bCs w:val="0"/>
                <w:spacing w:val="0"/>
                <w:sz w:val="24"/>
                <w:szCs w:val="24"/>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陈建华为管理体系的管理者代表。其职责和权限规定如下：</w:t>
            </w:r>
          </w:p>
          <w:p>
            <w:pPr>
              <w:pStyle w:val="2"/>
              <w:rPr>
                <w:bCs w:val="0"/>
                <w:spacing w:val="0"/>
                <w:sz w:val="24"/>
                <w:szCs w:val="24"/>
              </w:rPr>
            </w:pPr>
            <w:r>
              <w:rPr>
                <w:rFonts w:hint="eastAsia"/>
                <w:bCs w:val="0"/>
                <w:spacing w:val="0"/>
                <w:sz w:val="24"/>
                <w:szCs w:val="24"/>
              </w:rPr>
              <w:t>1.确保质量/环境/职业健康安全管理体系得到建立、实施和保持；</w:t>
            </w:r>
          </w:p>
          <w:p>
            <w:pPr>
              <w:pStyle w:val="2"/>
              <w:rPr>
                <w:bCs w:val="0"/>
                <w:spacing w:val="0"/>
                <w:sz w:val="24"/>
                <w:szCs w:val="24"/>
              </w:rPr>
            </w:pPr>
            <w:r>
              <w:rPr>
                <w:rFonts w:hint="eastAsia"/>
                <w:bCs w:val="0"/>
                <w:spacing w:val="0"/>
                <w:sz w:val="24"/>
                <w:szCs w:val="24"/>
              </w:rPr>
              <w:t>2.向最高管理者报告质量/环境/职业健康安全管理体系的绩效和任何改进的需求；</w:t>
            </w:r>
          </w:p>
          <w:p>
            <w:pPr>
              <w:pStyle w:val="2"/>
              <w:rPr>
                <w:bCs w:val="0"/>
                <w:spacing w:val="0"/>
                <w:sz w:val="24"/>
                <w:szCs w:val="24"/>
              </w:rPr>
            </w:pPr>
            <w:r>
              <w:rPr>
                <w:rFonts w:hint="eastAsia"/>
                <w:bCs w:val="0"/>
                <w:spacing w:val="0"/>
                <w:sz w:val="24"/>
                <w:szCs w:val="24"/>
              </w:rPr>
              <w:t>3.确保在整个组织内形成并逐步提高满足顾客需求的意识；</w:t>
            </w:r>
          </w:p>
          <w:p>
            <w:pPr>
              <w:pStyle w:val="2"/>
              <w:rPr>
                <w:bCs w:val="0"/>
                <w:spacing w:val="0"/>
                <w:sz w:val="24"/>
                <w:szCs w:val="24"/>
              </w:rPr>
            </w:pPr>
            <w:r>
              <w:rPr>
                <w:rFonts w:hint="eastAsia"/>
                <w:bCs w:val="0"/>
                <w:spacing w:val="0"/>
                <w:sz w:val="24"/>
                <w:szCs w:val="24"/>
              </w:rPr>
              <w:t>4.就质量/环境/职业健康安全管理体系相关事宜对外联络。</w:t>
            </w:r>
          </w:p>
          <w:p>
            <w:pPr>
              <w:pStyle w:val="2"/>
              <w:rPr>
                <w:bCs w:val="0"/>
                <w:spacing w:val="0"/>
                <w:sz w:val="24"/>
                <w:szCs w:val="24"/>
              </w:rPr>
            </w:pPr>
            <w:r>
              <w:rPr>
                <w:rFonts w:hint="eastAsia"/>
                <w:bCs w:val="0"/>
                <w:spacing w:val="0"/>
                <w:sz w:val="24"/>
                <w:szCs w:val="24"/>
              </w:rPr>
              <w:t>查到《综合管理手册》中有安全事务代表任命书，公司任命邢蕾为本公司的员工代表。相关人员均对本部门的管理职责了解，在其手册上面有书面的职责权限已公布。</w:t>
            </w:r>
          </w:p>
          <w:p>
            <w:pPr>
              <w:pStyle w:val="2"/>
              <w:rPr>
                <w:bCs w:val="0"/>
                <w:spacing w:val="0"/>
                <w:sz w:val="24"/>
                <w:szCs w:val="24"/>
              </w:rPr>
            </w:pPr>
            <w:r>
              <w:rPr>
                <w:rFonts w:hint="eastAsia"/>
                <w:bCs w:val="0"/>
                <w:spacing w:val="0"/>
                <w:sz w:val="24"/>
                <w:szCs w:val="24"/>
              </w:rPr>
              <w:t>1、参与危险源辨识、风险评价和控制措施的确定；</w:t>
            </w:r>
          </w:p>
          <w:p>
            <w:pPr>
              <w:pStyle w:val="2"/>
              <w:rPr>
                <w:bCs w:val="0"/>
                <w:spacing w:val="0"/>
                <w:sz w:val="24"/>
                <w:szCs w:val="24"/>
              </w:rPr>
            </w:pPr>
            <w:r>
              <w:rPr>
                <w:rFonts w:hint="eastAsia"/>
                <w:bCs w:val="0"/>
                <w:spacing w:val="0"/>
                <w:sz w:val="24"/>
                <w:szCs w:val="24"/>
              </w:rPr>
              <w:t>2、参与公司职业健康安全方针、目标的制定和评审；</w:t>
            </w:r>
          </w:p>
          <w:p>
            <w:pPr>
              <w:pStyle w:val="2"/>
              <w:rPr>
                <w:bCs w:val="0"/>
                <w:spacing w:val="0"/>
                <w:sz w:val="24"/>
                <w:szCs w:val="24"/>
              </w:rPr>
            </w:pPr>
            <w:r>
              <w:rPr>
                <w:rFonts w:hint="eastAsia"/>
                <w:bCs w:val="0"/>
                <w:spacing w:val="0"/>
                <w:sz w:val="24"/>
                <w:szCs w:val="24"/>
              </w:rPr>
              <w:t>3、参与安全事件调查和处理；</w:t>
            </w:r>
          </w:p>
          <w:p>
            <w:pPr>
              <w:pStyle w:val="2"/>
              <w:rPr>
                <w:bCs w:val="0"/>
                <w:spacing w:val="0"/>
                <w:sz w:val="24"/>
                <w:szCs w:val="24"/>
              </w:rPr>
            </w:pPr>
            <w:r>
              <w:rPr>
                <w:rFonts w:hint="eastAsia"/>
                <w:bCs w:val="0"/>
                <w:spacing w:val="0"/>
                <w:sz w:val="24"/>
                <w:szCs w:val="24"/>
              </w:rPr>
              <w:t>4、对影响公司职业健康安全的任何变更进行协商；</w:t>
            </w:r>
          </w:p>
          <w:p>
            <w:pPr>
              <w:pStyle w:val="2"/>
              <w:rPr>
                <w:bCs w:val="0"/>
                <w:spacing w:val="0"/>
                <w:sz w:val="24"/>
                <w:szCs w:val="24"/>
              </w:rPr>
            </w:pPr>
            <w:r>
              <w:rPr>
                <w:rFonts w:hint="eastAsia"/>
                <w:bCs w:val="0"/>
                <w:spacing w:val="0"/>
                <w:sz w:val="24"/>
                <w:szCs w:val="24"/>
              </w:rPr>
              <w:t>5、协调公司和员工的关系，上传下达</w:t>
            </w:r>
          </w:p>
          <w:p>
            <w:pPr>
              <w:pStyle w:val="2"/>
              <w:rPr>
                <w:bCs w:val="0"/>
                <w:spacing w:val="0"/>
                <w:sz w:val="24"/>
                <w:szCs w:val="24"/>
              </w:rPr>
            </w:pPr>
            <w:r>
              <w:rPr>
                <w:rFonts w:hint="eastAsia"/>
                <w:bCs w:val="0"/>
                <w:spacing w:val="0"/>
                <w:sz w:val="24"/>
                <w:szCs w:val="24"/>
              </w:rPr>
              <w:t>询问管代陈建华、安全事务代表邢蕾职责回答正确。</w:t>
            </w:r>
          </w:p>
          <w:p>
            <w:pPr>
              <w:pStyle w:val="2"/>
              <w:rPr>
                <w:bCs w:val="0"/>
                <w:spacing w:val="0"/>
                <w:sz w:val="24"/>
                <w:szCs w:val="24"/>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67" w:type="dxa"/>
          </w:tcPr>
          <w:p>
            <w:pPr>
              <w:spacing w:line="280" w:lineRule="exact"/>
              <w:rPr>
                <w:rFonts w:ascii="宋体"/>
                <w:szCs w:val="21"/>
              </w:rPr>
            </w:pPr>
            <w:r>
              <w:rPr>
                <w:rFonts w:ascii="宋体" w:cs="宋体"/>
                <w:szCs w:val="21"/>
              </w:rPr>
              <w:t>ES6.1.1</w:t>
            </w:r>
          </w:p>
          <w:p>
            <w:pPr>
              <w:spacing w:line="280" w:lineRule="exact"/>
              <w:rPr>
                <w:rFonts w:ascii="宋体" w:hAnsi="宋体" w:cs="宋体"/>
                <w:szCs w:val="21"/>
              </w:rPr>
            </w:pPr>
          </w:p>
          <w:p>
            <w:pPr>
              <w:spacing w:line="280" w:lineRule="exact"/>
            </w:pPr>
          </w:p>
        </w:tc>
        <w:tc>
          <w:tcPr>
            <w:tcW w:w="10587" w:type="dxa"/>
            <w:vAlign w:val="center"/>
          </w:tcPr>
          <w:p>
            <w:pPr>
              <w:rPr>
                <w:sz w:val="24"/>
                <w:szCs w:val="24"/>
              </w:rPr>
            </w:pPr>
            <w:r>
              <w:rPr>
                <w:rFonts w:hint="eastAsia"/>
                <w:sz w:val="24"/>
                <w:szCs w:val="24"/>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rPr>
                <w:rFonts w:hint="eastAsia"/>
                <w:sz w:val="24"/>
                <w:szCs w:val="24"/>
              </w:rPr>
            </w:pPr>
            <w:r>
              <w:rPr>
                <w:rFonts w:hint="eastAsia"/>
                <w:sz w:val="24"/>
                <w:szCs w:val="24"/>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rPr>
                <w:sz w:val="24"/>
                <w:szCs w:val="24"/>
              </w:rPr>
            </w:pPr>
            <w:r>
              <w:rPr>
                <w:rFonts w:hint="eastAsia"/>
                <w:sz w:val="24"/>
                <w:szCs w:val="24"/>
              </w:rPr>
              <w:t>3.在策划管理体系时考虑了风险和机遇以及相应的应对措施，制定了《风险和机遇的应对控制程序》</w:t>
            </w:r>
            <w:r>
              <w:rPr>
                <w:rFonts w:hint="eastAsia"/>
                <w:sz w:val="24"/>
                <w:szCs w:val="24"/>
              </w:rPr>
              <w:t>，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研发控制；执行国家环保要求；通过差异化策略提高竞争力。效果待观察。机遇主要是现在社会需求不断增多，国内疫情稳定导致国内对产品需求增多。</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67" w:type="dxa"/>
          </w:tcPr>
          <w:p>
            <w:pPr>
              <w:spacing w:line="280" w:lineRule="exact"/>
              <w:rPr>
                <w:szCs w:val="21"/>
              </w:rPr>
            </w:pPr>
            <w:r>
              <w:rPr>
                <w:rFonts w:hint="eastAsia"/>
                <w:szCs w:val="21"/>
              </w:rPr>
              <w:t>E</w:t>
            </w:r>
            <w:r>
              <w:rPr>
                <w:szCs w:val="21"/>
              </w:rPr>
              <w:t>S</w:t>
            </w:r>
            <w:r>
              <w:rPr>
                <w:rFonts w:hint="eastAsia"/>
                <w:szCs w:val="21"/>
              </w:rPr>
              <w:t>6.1.4</w:t>
            </w:r>
          </w:p>
          <w:p>
            <w:pPr>
              <w:spacing w:line="280" w:lineRule="exact"/>
            </w:pPr>
          </w:p>
        </w:tc>
        <w:tc>
          <w:tcPr>
            <w:tcW w:w="10587" w:type="dxa"/>
            <w:vAlign w:val="center"/>
          </w:tcPr>
          <w:p>
            <w:pPr>
              <w:rPr>
                <w:sz w:val="24"/>
                <w:szCs w:val="24"/>
              </w:rPr>
            </w:pPr>
            <w:r>
              <w:rPr>
                <w:rFonts w:hint="eastAsia"/>
                <w:sz w:val="24"/>
                <w:szCs w:val="24"/>
              </w:rPr>
              <w:t>在策划应对风险和机遇的措施时，公司综合考虑了企业所处的环境、重要环境因素、合规义务，以及面对的风险和机遇，制定了环境、职业健康安全目标及管理方案，总经理卢永芝负责批准。环境、职业健康安全管理方案中明确为实现环境、职业健康安全目标和指标的责任部门；规定实现环境、职业健康安全目标和指标的时间；具体措施和经费预算；都由总经理批准。环境、职业健康安全管理方案的实施，综合部每半年对方案实施情况进行检查跟踪，向总经理报告；一般在管理评审之前对环境、职业健康安全目标及管理方案由综合部对其进行评审，并将完成情况以书面形式呈报管理者代表，以便提交管理评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67"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asciiTheme="minorEastAsia" w:hAnsiTheme="minorEastAsia" w:eastAsiaTheme="minorEastAsia" w:cstheme="minorEastAsia"/>
                <w:szCs w:val="21"/>
              </w:rPr>
              <w:t>S</w:t>
            </w:r>
            <w:r>
              <w:rPr>
                <w:rFonts w:hint="eastAsia" w:asciiTheme="minorEastAsia" w:hAnsiTheme="minorEastAsia" w:eastAsiaTheme="minorEastAsia" w:cstheme="minorEastAsia"/>
                <w:szCs w:val="21"/>
              </w:rPr>
              <w:t>6.2</w:t>
            </w:r>
          </w:p>
          <w:p>
            <w:pPr>
              <w:spacing w:line="280" w:lineRule="exact"/>
              <w:rPr>
                <w:rFonts w:asciiTheme="minorEastAsia" w:hAnsiTheme="minorEastAsia" w:eastAsiaTheme="minorEastAsia" w:cstheme="minorEastAsia"/>
                <w:szCs w:val="21"/>
              </w:rPr>
            </w:pPr>
          </w:p>
        </w:tc>
        <w:tc>
          <w:tcPr>
            <w:tcW w:w="10587" w:type="dxa"/>
            <w:vAlign w:val="center"/>
          </w:tcPr>
          <w:p>
            <w:pPr>
              <w:rPr>
                <w:sz w:val="24"/>
                <w:szCs w:val="24"/>
              </w:rPr>
            </w:pPr>
            <w:r>
              <w:rPr>
                <w:rFonts w:hint="eastAsia"/>
                <w:sz w:val="24"/>
                <w:szCs w:val="24"/>
              </w:rPr>
              <w:t>公司对管理体系所需的相关职能、层次和过程设定管理目标。</w:t>
            </w:r>
          </w:p>
          <w:p>
            <w:pPr>
              <w:rPr>
                <w:sz w:val="24"/>
                <w:szCs w:val="24"/>
              </w:rPr>
            </w:pPr>
            <w:r>
              <w:rPr>
                <w:rFonts w:hint="eastAsia"/>
                <w:sz w:val="24"/>
                <w:szCs w:val="24"/>
              </w:rPr>
              <w:t>公司环境管理目标是：</w:t>
            </w:r>
          </w:p>
          <w:p>
            <w:pPr>
              <w:rPr>
                <w:sz w:val="24"/>
                <w:szCs w:val="24"/>
              </w:rPr>
            </w:pPr>
            <w:r>
              <w:rPr>
                <w:rFonts w:hint="eastAsia"/>
                <w:sz w:val="24"/>
                <w:szCs w:val="24"/>
              </w:rPr>
              <w:t xml:space="preserve"> 环境目标：1）固体废弃物100%分类，合理处理；</w:t>
            </w:r>
          </w:p>
          <w:p>
            <w:pPr>
              <w:rPr>
                <w:sz w:val="24"/>
                <w:szCs w:val="24"/>
              </w:rPr>
            </w:pPr>
            <w:r>
              <w:rPr>
                <w:rFonts w:hint="eastAsia"/>
                <w:sz w:val="24"/>
                <w:szCs w:val="24"/>
              </w:rPr>
              <w:t xml:space="preserve">            2）环境污染事故发生率为零</w:t>
            </w:r>
          </w:p>
          <w:p>
            <w:pPr>
              <w:rPr>
                <w:sz w:val="24"/>
                <w:szCs w:val="24"/>
              </w:rPr>
            </w:pPr>
            <w:r>
              <w:rPr>
                <w:rFonts w:hint="eastAsia"/>
                <w:sz w:val="24"/>
                <w:szCs w:val="24"/>
              </w:rPr>
              <w:t>职业健康安全目标和指标：</w:t>
            </w:r>
          </w:p>
          <w:p>
            <w:pPr>
              <w:rPr>
                <w:sz w:val="24"/>
                <w:szCs w:val="24"/>
              </w:rPr>
            </w:pPr>
            <w:r>
              <w:rPr>
                <w:rFonts w:hint="eastAsia"/>
                <w:sz w:val="24"/>
                <w:szCs w:val="24"/>
              </w:rPr>
              <w:t xml:space="preserve">1）各类重伤以上事故发生率为零； </w:t>
            </w:r>
          </w:p>
          <w:p>
            <w:pPr>
              <w:rPr>
                <w:sz w:val="24"/>
                <w:szCs w:val="24"/>
              </w:rPr>
            </w:pPr>
            <w:r>
              <w:rPr>
                <w:rFonts w:hint="eastAsia"/>
                <w:sz w:val="24"/>
                <w:szCs w:val="24"/>
              </w:rPr>
              <w:t>2）火灾事故发生率为零。</w:t>
            </w:r>
          </w:p>
          <w:p>
            <w:pPr>
              <w:rPr>
                <w:sz w:val="24"/>
                <w:szCs w:val="24"/>
              </w:rPr>
            </w:pPr>
            <w:r>
              <w:rPr>
                <w:rFonts w:hint="eastAsia"/>
                <w:sz w:val="24"/>
                <w:szCs w:val="24"/>
              </w:rPr>
              <w:t>目标较上一年没有变化，与公司管理方针一致。2021年度1-6月份目标完成情况良好</w:t>
            </w:r>
          </w:p>
          <w:p>
            <w:pPr>
              <w:rPr>
                <w:sz w:val="24"/>
                <w:szCs w:val="24"/>
              </w:rPr>
            </w:pPr>
            <w:r>
              <w:rPr>
                <w:rFonts w:hint="eastAsia"/>
                <w:sz w:val="24"/>
                <w:szCs w:val="24"/>
              </w:rPr>
              <w:t xml:space="preserve">每半年由综合部按公司管理目标考核要求统计考核公司管理目标完成情况，提交管理评审会议。查到今年上半年公司管理目标完成情况，各项目标均已完成，考核人陈建华  </w:t>
            </w:r>
          </w:p>
          <w:p>
            <w:pPr>
              <w:rPr>
                <w:sz w:val="24"/>
                <w:szCs w:val="24"/>
              </w:rPr>
            </w:pPr>
            <w:r>
              <w:rPr>
                <w:rFonts w:hint="eastAsia"/>
                <w:sz w:val="24"/>
                <w:szCs w:val="24"/>
              </w:rPr>
              <w:t>针对重要环境因素、不可接受风险制订了管理方案并予以实施，基本有效，详见综合部该条款审核记录。</w:t>
            </w:r>
          </w:p>
          <w:p>
            <w:pPr>
              <w:pStyle w:val="2"/>
              <w:rPr>
                <w:bCs w:val="0"/>
                <w:spacing w:val="0"/>
                <w:sz w:val="24"/>
                <w:szCs w:val="24"/>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67" w:type="dxa"/>
          </w:tcPr>
          <w:p>
            <w:pPr>
              <w:spacing w:line="280" w:lineRule="exact"/>
              <w:rPr>
                <w:szCs w:val="21"/>
              </w:rPr>
            </w:pPr>
            <w:r>
              <w:rPr>
                <w:rFonts w:hint="eastAsia"/>
                <w:szCs w:val="21"/>
              </w:rPr>
              <w:t>E</w:t>
            </w:r>
            <w:r>
              <w:rPr>
                <w:szCs w:val="21"/>
              </w:rPr>
              <w:t>S</w:t>
            </w:r>
            <w:r>
              <w:rPr>
                <w:rFonts w:hint="eastAsia"/>
                <w:szCs w:val="21"/>
              </w:rPr>
              <w:t>7.1</w:t>
            </w:r>
          </w:p>
          <w:p>
            <w:pPr>
              <w:spacing w:line="280" w:lineRule="exact"/>
            </w:pPr>
          </w:p>
        </w:tc>
        <w:tc>
          <w:tcPr>
            <w:tcW w:w="10587" w:type="dxa"/>
            <w:vAlign w:val="center"/>
          </w:tcPr>
          <w:p>
            <w:pPr>
              <w:rPr>
                <w:sz w:val="24"/>
                <w:szCs w:val="24"/>
              </w:rPr>
            </w:pPr>
            <w:r>
              <w:rPr>
                <w:rFonts w:hint="eastAsia"/>
                <w:sz w:val="24"/>
                <w:szCs w:val="24"/>
              </w:rPr>
              <w:t>租用办公用房，面积</w:t>
            </w:r>
            <w:r>
              <w:rPr>
                <w:rFonts w:hint="eastAsia"/>
                <w:sz w:val="24"/>
                <w:szCs w:val="24"/>
                <w:lang w:val="en-US" w:eastAsia="zh-CN"/>
              </w:rPr>
              <w:t>600</w:t>
            </w:r>
            <w:r>
              <w:rPr>
                <w:rFonts w:hint="eastAsia"/>
                <w:sz w:val="24"/>
                <w:szCs w:val="24"/>
              </w:rPr>
              <w:t>平米，</w:t>
            </w:r>
          </w:p>
          <w:p>
            <w:pPr>
              <w:rPr>
                <w:sz w:val="24"/>
                <w:szCs w:val="24"/>
              </w:rPr>
            </w:pPr>
            <w:r>
              <w:rPr>
                <w:rFonts w:hint="eastAsia"/>
                <w:sz w:val="24"/>
                <w:szCs w:val="24"/>
              </w:rPr>
              <w:t>办公设备:电脑/打印机/传真机/电话等。提供维修保养计划及记录，满足要求。</w:t>
            </w:r>
          </w:p>
          <w:p>
            <w:pPr>
              <w:rPr>
                <w:sz w:val="24"/>
                <w:szCs w:val="24"/>
              </w:rPr>
            </w:pPr>
            <w:r>
              <w:rPr>
                <w:rFonts w:hint="eastAsia"/>
                <w:sz w:val="24"/>
                <w:szCs w:val="24"/>
              </w:rPr>
              <w:t>环保设施包括：垃圾桶、消防设施；</w:t>
            </w:r>
          </w:p>
          <w:p>
            <w:pPr>
              <w:rPr>
                <w:sz w:val="24"/>
                <w:szCs w:val="24"/>
              </w:rPr>
            </w:pPr>
            <w:r>
              <w:rPr>
                <w:rFonts w:hint="eastAsia"/>
                <w:sz w:val="24"/>
                <w:szCs w:val="24"/>
              </w:rPr>
              <w:t>安全设施配置主要有：标识牌、灭火器、消防器材等，技术部定期维护与保养。公司根据质量管理和研发的需要，配备了办公用房及通讯、信息系统等基础设施</w:t>
            </w:r>
            <w:r>
              <w:rPr>
                <w:sz w:val="24"/>
                <w:szCs w:val="24"/>
              </w:rPr>
              <w:t>。公司编制了《</w:t>
            </w:r>
            <w:r>
              <w:rPr>
                <w:rFonts w:hint="eastAsia"/>
                <w:sz w:val="24"/>
                <w:szCs w:val="24"/>
              </w:rPr>
              <w:t>基础设施控制程序</w:t>
            </w:r>
            <w:r>
              <w:rPr>
                <w:sz w:val="24"/>
                <w:szCs w:val="24"/>
              </w:rPr>
              <w:t>》 并配备有办</w:t>
            </w:r>
            <w:r>
              <w:rPr>
                <w:rFonts w:hint="eastAsia"/>
                <w:sz w:val="24"/>
                <w:szCs w:val="24"/>
              </w:rPr>
              <w:t>公桌椅，水电、空调、会议室、消防设施设备，并有电脑、打印机、电话、传真机、复印机等办公设备；满足办公需要。</w:t>
            </w:r>
          </w:p>
          <w:p>
            <w:pPr>
              <w:ind w:firstLine="480" w:firstLineChars="200"/>
              <w:rPr>
                <w:sz w:val="24"/>
                <w:szCs w:val="24"/>
              </w:rPr>
            </w:pPr>
            <w:r>
              <w:rPr>
                <w:rFonts w:hint="eastAsia"/>
                <w:sz w:val="24"/>
                <w:szCs w:val="24"/>
              </w:rPr>
              <w:t>抽：《服务设施检修计划》</w:t>
            </w:r>
          </w:p>
          <w:p>
            <w:pPr>
              <w:ind w:firstLine="480" w:firstLineChars="200"/>
              <w:rPr>
                <w:sz w:val="24"/>
                <w:szCs w:val="24"/>
              </w:rPr>
            </w:pPr>
            <w:r>
              <w:rPr>
                <w:rFonts w:hint="eastAsia"/>
                <w:sz w:val="24"/>
                <w:szCs w:val="24"/>
              </w:rPr>
              <w:t>依照计划进行设备设施的升级、维护、更换、配备，相关设施配备和管理比较完善。抽查2021年6月18日设备设施维修、保养记录单。检修人：外来，记录人：陈建华</w:t>
            </w:r>
          </w:p>
          <w:p>
            <w:pPr>
              <w:pStyle w:val="2"/>
              <w:rPr>
                <w:bCs w:val="0"/>
                <w:spacing w:val="0"/>
                <w:sz w:val="24"/>
                <w:szCs w:val="24"/>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沟通</w:t>
            </w:r>
          </w:p>
          <w:p>
            <w:pPr>
              <w:spacing w:line="280" w:lineRule="exact"/>
              <w:rPr>
                <w:rFonts w:ascii="宋体" w:hAnsi="宋体" w:cs="宋体"/>
                <w:szCs w:val="21"/>
              </w:rPr>
            </w:pPr>
          </w:p>
        </w:tc>
        <w:tc>
          <w:tcPr>
            <w:tcW w:w="1067" w:type="dxa"/>
          </w:tcPr>
          <w:p>
            <w:pPr>
              <w:spacing w:line="280" w:lineRule="exact"/>
              <w:rPr>
                <w:rFonts w:ascii="宋体" w:hAnsi="宋体" w:cs="宋体"/>
                <w:kern w:val="0"/>
                <w:szCs w:val="21"/>
              </w:rPr>
            </w:pPr>
            <w:r>
              <w:rPr>
                <w:rFonts w:hint="eastAsia" w:ascii="宋体" w:hAnsi="宋体" w:cs="宋体"/>
                <w:kern w:val="0"/>
                <w:szCs w:val="21"/>
              </w:rPr>
              <w:t>E</w:t>
            </w:r>
            <w:r>
              <w:rPr>
                <w:rFonts w:ascii="宋体" w:hAnsi="宋体" w:cs="宋体"/>
                <w:kern w:val="0"/>
                <w:szCs w:val="21"/>
              </w:rPr>
              <w:t>S</w:t>
            </w:r>
            <w:r>
              <w:rPr>
                <w:rFonts w:hint="eastAsia" w:ascii="宋体" w:hAnsi="宋体" w:cs="宋体"/>
                <w:kern w:val="0"/>
                <w:szCs w:val="21"/>
              </w:rPr>
              <w:t>7.4</w:t>
            </w:r>
          </w:p>
          <w:p>
            <w:pPr>
              <w:spacing w:line="280" w:lineRule="exact"/>
            </w:pPr>
          </w:p>
        </w:tc>
        <w:tc>
          <w:tcPr>
            <w:tcW w:w="10587" w:type="dxa"/>
            <w:vAlign w:val="center"/>
          </w:tcPr>
          <w:p>
            <w:pPr>
              <w:rPr>
                <w:sz w:val="24"/>
                <w:szCs w:val="24"/>
              </w:rPr>
            </w:pPr>
            <w:r>
              <w:rPr>
                <w:rFonts w:hint="eastAsia"/>
                <w:sz w:val="24"/>
                <w:szCs w:val="24"/>
              </w:rPr>
              <w:t>公司编制并实施了《信息交流控制程序》，规定了职责、工作流程，包括内部沟通和外部沟通的方法和要求。</w:t>
            </w:r>
          </w:p>
          <w:p>
            <w:pPr>
              <w:rPr>
                <w:sz w:val="24"/>
                <w:szCs w:val="24"/>
              </w:rPr>
            </w:pPr>
            <w:r>
              <w:rPr>
                <w:rFonts w:hint="eastAsia"/>
                <w:sz w:val="24"/>
                <w:szCs w:val="24"/>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rPr>
                <w:sz w:val="24"/>
                <w:szCs w:val="24"/>
              </w:rPr>
            </w:pPr>
            <w:r>
              <w:rPr>
                <w:rFonts w:hint="eastAsia"/>
                <w:sz w:val="24"/>
                <w:szCs w:val="24"/>
              </w:rPr>
              <w:t>现场查阅内部交流：方针、目标完成情况、内审和管理评审报告、不符合信息等。</w:t>
            </w:r>
          </w:p>
          <w:p>
            <w:pPr>
              <w:rPr>
                <w:sz w:val="24"/>
                <w:szCs w:val="24"/>
              </w:rPr>
            </w:pPr>
            <w:r>
              <w:rPr>
                <w:rFonts w:hint="eastAsia"/>
                <w:sz w:val="24"/>
                <w:szCs w:val="24"/>
              </w:rPr>
              <w:t>外部交流：通过发放《信息沟通函》与相关方就相关环境、职业健康安全信息进行相互沟通。</w:t>
            </w:r>
          </w:p>
          <w:p>
            <w:pPr>
              <w:pStyle w:val="2"/>
              <w:rPr>
                <w:bCs w:val="0"/>
                <w:spacing w:val="0"/>
                <w:sz w:val="24"/>
                <w:szCs w:val="24"/>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sz w:val="24"/>
                <w:szCs w:val="24"/>
              </w:rPr>
              <w:t>绩效测量和监视</w:t>
            </w:r>
          </w:p>
        </w:tc>
        <w:tc>
          <w:tcPr>
            <w:tcW w:w="106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asciiTheme="minorEastAsia" w:hAnsiTheme="minorEastAsia" w:eastAsiaTheme="minorEastAsia" w:cstheme="minorEastAsia"/>
                <w:szCs w:val="21"/>
              </w:rPr>
              <w:t>S</w:t>
            </w:r>
            <w:r>
              <w:rPr>
                <w:rFonts w:hint="eastAsia" w:asciiTheme="minorEastAsia" w:hAnsiTheme="minorEastAsia" w:eastAsiaTheme="minorEastAsia" w:cstheme="minorEastAsia"/>
                <w:szCs w:val="21"/>
              </w:rPr>
              <w:t>9.1.1</w:t>
            </w:r>
          </w:p>
          <w:p/>
        </w:tc>
        <w:tc>
          <w:tcPr>
            <w:tcW w:w="10587" w:type="dxa"/>
            <w:vAlign w:val="center"/>
          </w:tcPr>
          <w:p>
            <w:pPr>
              <w:rPr>
                <w:sz w:val="24"/>
                <w:szCs w:val="24"/>
              </w:rPr>
            </w:pPr>
            <w:r>
              <w:rPr>
                <w:rFonts w:hint="eastAsia"/>
                <w:sz w:val="24"/>
                <w:szCs w:val="24"/>
              </w:rPr>
              <w:t>公司编制了《顾客满意度控制程序》，对</w:t>
            </w:r>
            <w:r>
              <w:rPr>
                <w:rFonts w:hint="eastAsia"/>
                <w:sz w:val="24"/>
                <w:szCs w:val="24"/>
                <w:lang w:val="en-US" w:eastAsia="zh-CN"/>
              </w:rPr>
              <w:t>销售</w:t>
            </w:r>
            <w:r>
              <w:rPr>
                <w:rFonts w:hint="eastAsia"/>
                <w:sz w:val="24"/>
                <w:szCs w:val="24"/>
              </w:rPr>
              <w:t>服务的质量特性进行监视和测量，以验证其符合要求的程度，确保服务符合要求。</w:t>
            </w:r>
          </w:p>
          <w:p>
            <w:pPr>
              <w:rPr>
                <w:sz w:val="24"/>
                <w:szCs w:val="24"/>
              </w:rPr>
            </w:pPr>
            <w:r>
              <w:rPr>
                <w:rFonts w:hint="eastAsia"/>
                <w:sz w:val="24"/>
                <w:szCs w:val="24"/>
              </w:rPr>
              <w:t>公司制定《内部审核控制程序》 、《管理评审控制程序》 为保证公司环境及职业健康管理体系的有效运行，通过对管理绩效的监视与测量，确保体系运行的有效性。</w:t>
            </w:r>
          </w:p>
          <w:p>
            <w:pPr>
              <w:rPr>
                <w:sz w:val="24"/>
                <w:szCs w:val="24"/>
              </w:rPr>
            </w:pPr>
            <w:r>
              <w:rPr>
                <w:rFonts w:hint="eastAsia"/>
                <w:sz w:val="24"/>
                <w:szCs w:val="24"/>
              </w:rPr>
              <w:t>查阅“部门质量目标策划及考核记录表”，</w:t>
            </w:r>
          </w:p>
          <w:p>
            <w:pPr>
              <w:rPr>
                <w:sz w:val="24"/>
                <w:szCs w:val="24"/>
              </w:rPr>
            </w:pPr>
            <w:r>
              <w:rPr>
                <w:rFonts w:hint="eastAsia"/>
                <w:sz w:val="24"/>
                <w:szCs w:val="24"/>
              </w:rPr>
              <w:t>提供管理目标指标的检查考核工作，均完成目标考核要求。</w:t>
            </w:r>
          </w:p>
          <w:p>
            <w:pPr>
              <w:rPr>
                <w:sz w:val="24"/>
                <w:szCs w:val="24"/>
              </w:rPr>
            </w:pPr>
            <w:r>
              <w:rPr>
                <w:rFonts w:hint="eastAsia"/>
                <w:sz w:val="24"/>
                <w:szCs w:val="24"/>
              </w:rPr>
              <w:t>查阅“环境和职业健康安全目标指标完成情况检查表”，体系建立至今共进行的管理目标指标的检查考核工作，均完成目标考核要求。</w:t>
            </w:r>
          </w:p>
          <w:p>
            <w:pPr>
              <w:rPr>
                <w:sz w:val="24"/>
                <w:szCs w:val="24"/>
              </w:rPr>
            </w:pPr>
            <w:r>
              <w:rPr>
                <w:rFonts w:hint="eastAsia"/>
                <w:sz w:val="24"/>
                <w:szCs w:val="24"/>
              </w:rPr>
              <w:t>环境和职业健康安全运行管理检查情况：抽查202</w:t>
            </w:r>
            <w:r>
              <w:rPr>
                <w:sz w:val="24"/>
                <w:szCs w:val="24"/>
              </w:rPr>
              <w:t>1</w:t>
            </w:r>
            <w:r>
              <w:rPr>
                <w:rFonts w:hint="eastAsia"/>
                <w:sz w:val="24"/>
                <w:szCs w:val="24"/>
              </w:rPr>
              <w:t>.7.10管理检查记录，主控部门：综合部，检查人：王根厚 ，对固废收集、节约能源等方面进行检查、劳保用品发放、安全管理进行检查，一切正常。</w:t>
            </w:r>
          </w:p>
          <w:p>
            <w:pPr>
              <w:rPr>
                <w:sz w:val="24"/>
                <w:szCs w:val="24"/>
              </w:rPr>
            </w:pPr>
            <w:r>
              <w:rPr>
                <w:rFonts w:hint="eastAsia"/>
                <w:sz w:val="24"/>
                <w:szCs w:val="24"/>
              </w:rPr>
              <w:t>查公司为员工购买有养老等保险，提供购买证据。</w:t>
            </w:r>
          </w:p>
          <w:p>
            <w:pPr>
              <w:rPr>
                <w:sz w:val="24"/>
                <w:szCs w:val="24"/>
              </w:rPr>
            </w:pPr>
            <w:r>
              <w:rPr>
                <w:rFonts w:hint="eastAsia"/>
                <w:sz w:val="24"/>
                <w:szCs w:val="24"/>
              </w:rPr>
              <w:t>外部对公司环境和安全管理要求一般口头交流；对供应商及客户等相关方有“相关方告知书”等。</w:t>
            </w:r>
          </w:p>
          <w:p>
            <w:pPr>
              <w:rPr>
                <w:sz w:val="24"/>
                <w:szCs w:val="24"/>
              </w:rPr>
            </w:pPr>
            <w:r>
              <w:rPr>
                <w:rFonts w:hint="eastAsia"/>
                <w:sz w:val="24"/>
                <w:szCs w:val="24"/>
              </w:rPr>
              <w:t>目前未发现公司出现违规现象。无被动性绩效的监视和测量。</w:t>
            </w:r>
          </w:p>
          <w:p>
            <w:pPr>
              <w:rPr>
                <w:sz w:val="24"/>
                <w:szCs w:val="24"/>
              </w:rPr>
            </w:pPr>
            <w:r>
              <w:rPr>
                <w:rFonts w:hint="eastAsia"/>
                <w:sz w:val="24"/>
                <w:szCs w:val="24"/>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67" w:type="dxa"/>
          </w:tcPr>
          <w:p>
            <w:pPr>
              <w:spacing w:line="280" w:lineRule="exact"/>
              <w:rPr>
                <w:szCs w:val="21"/>
              </w:rPr>
            </w:pPr>
            <w:r>
              <w:rPr>
                <w:rFonts w:hint="eastAsia"/>
                <w:szCs w:val="21"/>
              </w:rPr>
              <w:t>E9.3</w:t>
            </w:r>
          </w:p>
          <w:p>
            <w:pPr>
              <w:spacing w:line="280" w:lineRule="exact"/>
              <w:rPr>
                <w:szCs w:val="21"/>
              </w:rPr>
            </w:pPr>
          </w:p>
          <w:p>
            <w:pPr>
              <w:spacing w:line="280" w:lineRule="exact"/>
            </w:pPr>
          </w:p>
        </w:tc>
        <w:tc>
          <w:tcPr>
            <w:tcW w:w="10587" w:type="dxa"/>
            <w:vAlign w:val="center"/>
          </w:tcPr>
          <w:p>
            <w:pPr>
              <w:rPr>
                <w:sz w:val="24"/>
                <w:szCs w:val="24"/>
              </w:rPr>
            </w:pPr>
            <w:r>
              <w:rPr>
                <w:rFonts w:hint="eastAsia"/>
                <w:sz w:val="24"/>
                <w:szCs w:val="24"/>
              </w:rPr>
              <w:t>提供：</w:t>
            </w:r>
          </w:p>
          <w:p>
            <w:pPr>
              <w:rPr>
                <w:sz w:val="24"/>
                <w:szCs w:val="24"/>
              </w:rPr>
            </w:pPr>
            <w:r>
              <w:rPr>
                <w:rFonts w:hint="eastAsia"/>
                <w:sz w:val="24"/>
                <w:szCs w:val="24"/>
              </w:rPr>
              <w:t>1.管理评审计划，</w:t>
            </w:r>
          </w:p>
          <w:p>
            <w:pPr>
              <w:rPr>
                <w:sz w:val="24"/>
                <w:szCs w:val="24"/>
              </w:rPr>
            </w:pPr>
            <w:r>
              <w:rPr>
                <w:rFonts w:hint="eastAsia"/>
                <w:sz w:val="24"/>
                <w:szCs w:val="24"/>
              </w:rPr>
              <w:t>评审时间：计划202</w:t>
            </w:r>
            <w:r>
              <w:rPr>
                <w:sz w:val="24"/>
                <w:szCs w:val="24"/>
              </w:rPr>
              <w:t>1</w:t>
            </w:r>
            <w:r>
              <w:rPr>
                <w:rFonts w:hint="eastAsia"/>
                <w:sz w:val="24"/>
                <w:szCs w:val="24"/>
              </w:rPr>
              <w:t>年5月20日进行，评审方式：会议评审，编制：王根厚      审批：卢永芝     编制日期： 202</w:t>
            </w:r>
            <w:r>
              <w:rPr>
                <w:sz w:val="24"/>
                <w:szCs w:val="24"/>
              </w:rPr>
              <w:t>1</w:t>
            </w:r>
            <w:r>
              <w:rPr>
                <w:rFonts w:hint="eastAsia"/>
                <w:sz w:val="24"/>
                <w:szCs w:val="24"/>
              </w:rPr>
              <w:t xml:space="preserve">年4月18日，   </w:t>
            </w:r>
          </w:p>
          <w:p>
            <w:pPr>
              <w:rPr>
                <w:sz w:val="24"/>
                <w:szCs w:val="24"/>
              </w:rPr>
            </w:pPr>
            <w:r>
              <w:rPr>
                <w:rFonts w:hint="eastAsia"/>
                <w:sz w:val="24"/>
                <w:szCs w:val="24"/>
              </w:rPr>
              <w:t>参加人员包括公司总经理、管理者代表、各部门负责人，</w:t>
            </w:r>
          </w:p>
          <w:p>
            <w:pPr>
              <w:rPr>
                <w:sz w:val="24"/>
                <w:szCs w:val="24"/>
              </w:rPr>
            </w:pPr>
            <w:r>
              <w:rPr>
                <w:rFonts w:hint="eastAsia"/>
                <w:sz w:val="24"/>
                <w:szCs w:val="24"/>
              </w:rPr>
              <w:t>计划中明确了评审内容和资料准备要求。</w:t>
            </w:r>
          </w:p>
          <w:p>
            <w:pPr>
              <w:numPr>
                <w:ilvl w:val="0"/>
                <w:numId w:val="1"/>
              </w:numPr>
              <w:rPr>
                <w:sz w:val="24"/>
                <w:szCs w:val="24"/>
              </w:rPr>
            </w:pPr>
            <w:r>
              <w:rPr>
                <w:rFonts w:hint="eastAsia"/>
                <w:sz w:val="24"/>
                <w:szCs w:val="24"/>
              </w:rPr>
              <w:t>管理评审内容：</w:t>
            </w:r>
          </w:p>
          <w:p>
            <w:pPr>
              <w:ind w:left="28"/>
              <w:rPr>
                <w:sz w:val="24"/>
                <w:szCs w:val="24"/>
              </w:rPr>
            </w:pPr>
            <w:r>
              <w:rPr>
                <w:rFonts w:hint="eastAsia"/>
                <w:sz w:val="24"/>
                <w:szCs w:val="24"/>
              </w:rPr>
              <w:t>2021年度内部审核结果；</w:t>
            </w:r>
          </w:p>
          <w:p>
            <w:pPr>
              <w:ind w:left="28"/>
              <w:rPr>
                <w:sz w:val="24"/>
                <w:szCs w:val="24"/>
              </w:rPr>
            </w:pPr>
            <w:r>
              <w:rPr>
                <w:rFonts w:hint="eastAsia"/>
                <w:sz w:val="24"/>
                <w:szCs w:val="24"/>
              </w:rPr>
              <w:t>法律法规评价结果；</w:t>
            </w:r>
          </w:p>
          <w:p>
            <w:pPr>
              <w:tabs>
                <w:tab w:val="left" w:pos="0"/>
              </w:tabs>
              <w:ind w:left="28"/>
              <w:rPr>
                <w:sz w:val="24"/>
                <w:szCs w:val="24"/>
              </w:rPr>
            </w:pPr>
            <w:r>
              <w:rPr>
                <w:rFonts w:hint="eastAsia"/>
                <w:sz w:val="24"/>
                <w:szCs w:val="24"/>
              </w:rPr>
              <w:t>顾客的反馈，包括满意程度的测量结果及与顾客沟通的结果等；</w:t>
            </w:r>
          </w:p>
          <w:p>
            <w:pPr>
              <w:ind w:left="28"/>
              <w:rPr>
                <w:sz w:val="24"/>
                <w:szCs w:val="24"/>
              </w:rPr>
            </w:pPr>
            <w:r>
              <w:rPr>
                <w:rFonts w:hint="eastAsia"/>
                <w:sz w:val="24"/>
                <w:szCs w:val="24"/>
              </w:rPr>
              <w:t>过程的业绩和产品的符合性；</w:t>
            </w:r>
          </w:p>
          <w:p>
            <w:pPr>
              <w:ind w:left="28"/>
              <w:rPr>
                <w:sz w:val="24"/>
                <w:szCs w:val="24"/>
              </w:rPr>
            </w:pPr>
            <w:r>
              <w:rPr>
                <w:rFonts w:hint="eastAsia"/>
                <w:sz w:val="24"/>
                <w:szCs w:val="24"/>
              </w:rPr>
              <w:t>管理体系运行状况以及管理方针和管理目标适宜性评价；</w:t>
            </w:r>
          </w:p>
          <w:p>
            <w:pPr>
              <w:ind w:left="28"/>
              <w:rPr>
                <w:sz w:val="24"/>
                <w:szCs w:val="24"/>
              </w:rPr>
            </w:pPr>
            <w:r>
              <w:rPr>
                <w:rFonts w:hint="eastAsia"/>
                <w:sz w:val="24"/>
                <w:szCs w:val="24"/>
              </w:rPr>
              <w:t>相关方信息交流；</w:t>
            </w:r>
          </w:p>
          <w:p>
            <w:pPr>
              <w:ind w:left="28"/>
              <w:rPr>
                <w:sz w:val="24"/>
                <w:szCs w:val="24"/>
              </w:rPr>
            </w:pPr>
            <w:r>
              <w:rPr>
                <w:rFonts w:hint="eastAsia"/>
                <w:sz w:val="24"/>
                <w:szCs w:val="24"/>
              </w:rPr>
              <w:t>预防措施和纠正措施的实施状况；</w:t>
            </w:r>
          </w:p>
          <w:p>
            <w:pPr>
              <w:ind w:left="28"/>
              <w:rPr>
                <w:sz w:val="24"/>
                <w:szCs w:val="24"/>
              </w:rPr>
            </w:pPr>
            <w:r>
              <w:rPr>
                <w:rFonts w:hint="eastAsia"/>
                <w:sz w:val="24"/>
                <w:szCs w:val="24"/>
              </w:rPr>
              <w:t>可能影响质量职业健康安全一体化管理体系的变化；</w:t>
            </w:r>
          </w:p>
          <w:p>
            <w:pPr>
              <w:pStyle w:val="2"/>
              <w:rPr>
                <w:bCs w:val="0"/>
                <w:spacing w:val="0"/>
                <w:sz w:val="24"/>
                <w:szCs w:val="24"/>
              </w:rPr>
            </w:pPr>
            <w:r>
              <w:rPr>
                <w:rFonts w:hint="eastAsia"/>
                <w:bCs w:val="0"/>
                <w:spacing w:val="0"/>
                <w:sz w:val="24"/>
                <w:szCs w:val="24"/>
              </w:rPr>
              <w:t>以往管理评审的跟踪。</w:t>
            </w:r>
          </w:p>
          <w:p>
            <w:pPr>
              <w:pStyle w:val="2"/>
              <w:rPr>
                <w:bCs w:val="0"/>
                <w:spacing w:val="0"/>
                <w:sz w:val="24"/>
                <w:szCs w:val="24"/>
              </w:rPr>
            </w:pPr>
            <w:r>
              <w:rPr>
                <w:rFonts w:hint="eastAsia"/>
                <w:bCs w:val="0"/>
                <w:spacing w:val="0"/>
                <w:sz w:val="24"/>
                <w:szCs w:val="24"/>
              </w:rPr>
              <w:t>改进的建议</w:t>
            </w:r>
          </w:p>
          <w:p>
            <w:pPr>
              <w:rPr>
                <w:sz w:val="24"/>
                <w:szCs w:val="24"/>
              </w:rPr>
            </w:pPr>
            <w:r>
              <w:rPr>
                <w:rFonts w:hint="eastAsia"/>
                <w:sz w:val="24"/>
                <w:szCs w:val="24"/>
              </w:rPr>
              <w:t>3.管理评审报告，</w:t>
            </w:r>
          </w:p>
          <w:p>
            <w:pPr>
              <w:rPr>
                <w:sz w:val="24"/>
                <w:szCs w:val="24"/>
              </w:rPr>
            </w:pPr>
            <w:r>
              <w:rPr>
                <w:rFonts w:hint="eastAsia"/>
                <w:sz w:val="24"/>
                <w:szCs w:val="24"/>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pPr>
              <w:rPr>
                <w:sz w:val="24"/>
                <w:szCs w:val="24"/>
              </w:rPr>
            </w:pPr>
            <w:r>
              <w:rPr>
                <w:rFonts w:hint="eastAsia"/>
                <w:sz w:val="24"/>
                <w:szCs w:val="24"/>
              </w:rPr>
              <w:t>4.改进计划，</w:t>
            </w:r>
          </w:p>
          <w:p>
            <w:pPr>
              <w:ind w:firstLine="480" w:firstLineChars="200"/>
              <w:rPr>
                <w:sz w:val="24"/>
                <w:szCs w:val="24"/>
              </w:rPr>
            </w:pPr>
            <w:r>
              <w:rPr>
                <w:rFonts w:hint="eastAsia"/>
                <w:sz w:val="24"/>
                <w:szCs w:val="24"/>
              </w:rPr>
              <w:t>a.与质量管理体系有效性方面的改进：加强标准的学习和理解。</w:t>
            </w:r>
          </w:p>
          <w:p>
            <w:pPr>
              <w:ind w:firstLine="480" w:firstLineChars="200"/>
              <w:rPr>
                <w:sz w:val="24"/>
                <w:szCs w:val="24"/>
              </w:rPr>
            </w:pPr>
            <w:r>
              <w:rPr>
                <w:rFonts w:hint="eastAsia"/>
                <w:sz w:val="24"/>
                <w:szCs w:val="24"/>
              </w:rPr>
              <w:t>b.与顾客产品要求的改进：减少采购环节，降低采购成本，增强市场竞争能力。</w:t>
            </w:r>
          </w:p>
          <w:p>
            <w:pPr>
              <w:ind w:firstLine="480" w:firstLineChars="200"/>
              <w:rPr>
                <w:sz w:val="24"/>
                <w:szCs w:val="24"/>
              </w:rPr>
            </w:pPr>
            <w:r>
              <w:rPr>
                <w:rFonts w:hint="eastAsia"/>
                <w:sz w:val="24"/>
                <w:szCs w:val="24"/>
              </w:rPr>
              <w:t>c.资源方面改进：增加销售人员；</w:t>
            </w:r>
          </w:p>
          <w:p>
            <w:pPr>
              <w:ind w:firstLine="480" w:firstLineChars="200"/>
              <w:rPr>
                <w:sz w:val="24"/>
                <w:szCs w:val="24"/>
              </w:rPr>
            </w:pPr>
            <w:r>
              <w:rPr>
                <w:rFonts w:hint="eastAsia"/>
                <w:sz w:val="24"/>
                <w:szCs w:val="24"/>
              </w:rPr>
              <w:t>计划有负责人及监控要求PDCA。</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67" w:type="dxa"/>
          </w:tcPr>
          <w:p>
            <w:pPr>
              <w:spacing w:line="280" w:lineRule="exact"/>
              <w:rPr>
                <w:szCs w:val="21"/>
              </w:rPr>
            </w:pPr>
            <w:r>
              <w:rPr>
                <w:rFonts w:hint="eastAsia"/>
                <w:szCs w:val="21"/>
              </w:rPr>
              <w:t>E</w:t>
            </w:r>
            <w:r>
              <w:rPr>
                <w:szCs w:val="21"/>
              </w:rPr>
              <w:t>S</w:t>
            </w:r>
            <w:r>
              <w:rPr>
                <w:rFonts w:hint="eastAsia"/>
                <w:szCs w:val="21"/>
              </w:rPr>
              <w:t xml:space="preserve"> 10.1</w:t>
            </w:r>
          </w:p>
          <w:p>
            <w:pPr>
              <w:spacing w:line="280" w:lineRule="exact"/>
            </w:pPr>
          </w:p>
        </w:tc>
        <w:tc>
          <w:tcPr>
            <w:tcW w:w="10587" w:type="dxa"/>
          </w:tcPr>
          <w:p>
            <w:pPr>
              <w:rPr>
                <w:sz w:val="24"/>
                <w:szCs w:val="24"/>
              </w:rPr>
            </w:pPr>
            <w:r>
              <w:rPr>
                <w:rFonts w:hint="eastAsia"/>
                <w:sz w:val="24"/>
                <w:szCs w:val="24"/>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rPr>
                <w:sz w:val="24"/>
                <w:szCs w:val="24"/>
              </w:rPr>
            </w:pPr>
            <w:r>
              <w:rPr>
                <w:rFonts w:hint="eastAsia"/>
                <w:sz w:val="24"/>
                <w:szCs w:val="24"/>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67" w:type="dxa"/>
          </w:tcPr>
          <w:p>
            <w:pPr>
              <w:spacing w:line="280" w:lineRule="exact"/>
              <w:rPr>
                <w:szCs w:val="21"/>
              </w:rPr>
            </w:pPr>
            <w:r>
              <w:rPr>
                <w:rFonts w:hint="eastAsia"/>
                <w:szCs w:val="21"/>
              </w:rPr>
              <w:t>E</w:t>
            </w:r>
            <w:r>
              <w:rPr>
                <w:szCs w:val="21"/>
              </w:rPr>
              <w:t>S</w:t>
            </w:r>
            <w:r>
              <w:rPr>
                <w:rFonts w:hint="eastAsia"/>
                <w:szCs w:val="21"/>
              </w:rPr>
              <w:t xml:space="preserve"> 10.3</w:t>
            </w:r>
          </w:p>
          <w:p>
            <w:pPr>
              <w:spacing w:line="280" w:lineRule="exact"/>
            </w:pPr>
          </w:p>
        </w:tc>
        <w:tc>
          <w:tcPr>
            <w:tcW w:w="10587" w:type="dxa"/>
            <w:vAlign w:val="center"/>
          </w:tcPr>
          <w:p>
            <w:pPr>
              <w:rPr>
                <w:sz w:val="24"/>
                <w:szCs w:val="24"/>
              </w:rPr>
            </w:pPr>
            <w:r>
              <w:rPr>
                <w:rFonts w:hint="eastAsia"/>
                <w:sz w:val="24"/>
                <w:szCs w:val="24"/>
              </w:rPr>
              <w:t xml:space="preserve">    公司组织确定并选择改进机会，采取必要措施，满足顾客要求和增强顾客满意。</w:t>
            </w:r>
          </w:p>
          <w:p>
            <w:pPr>
              <w:rPr>
                <w:sz w:val="24"/>
                <w:szCs w:val="24"/>
              </w:rPr>
            </w:pPr>
            <w:r>
              <w:rPr>
                <w:rFonts w:hint="eastAsia"/>
                <w:sz w:val="24"/>
                <w:szCs w:val="24"/>
              </w:rPr>
              <w:t>包括：</w:t>
            </w:r>
          </w:p>
          <w:p>
            <w:pPr>
              <w:rPr>
                <w:sz w:val="24"/>
                <w:szCs w:val="24"/>
              </w:rPr>
            </w:pPr>
            <w:r>
              <w:rPr>
                <w:rFonts w:hint="eastAsia"/>
                <w:sz w:val="24"/>
                <w:szCs w:val="24"/>
              </w:rPr>
              <w:t>a) 改进产品或服务，以满足要求并关注未来的需求和期望；</w:t>
            </w:r>
          </w:p>
          <w:p>
            <w:pPr>
              <w:rPr>
                <w:sz w:val="24"/>
                <w:szCs w:val="24"/>
              </w:rPr>
            </w:pPr>
            <w:r>
              <w:rPr>
                <w:rFonts w:hint="eastAsia"/>
                <w:sz w:val="24"/>
                <w:szCs w:val="24"/>
              </w:rPr>
              <w:t>b) 纠正或减少不利影响；</w:t>
            </w:r>
          </w:p>
          <w:p>
            <w:pPr>
              <w:rPr>
                <w:sz w:val="24"/>
                <w:szCs w:val="24"/>
              </w:rPr>
            </w:pPr>
            <w:r>
              <w:rPr>
                <w:rFonts w:hint="eastAsia"/>
                <w:sz w:val="24"/>
                <w:szCs w:val="24"/>
              </w:rPr>
              <w:t>c) 改进管理体系绩效和有效性。</w:t>
            </w:r>
          </w:p>
          <w:p>
            <w:pPr>
              <w:rPr>
                <w:sz w:val="24"/>
                <w:szCs w:val="24"/>
              </w:rPr>
            </w:pPr>
            <w:r>
              <w:rPr>
                <w:rFonts w:hint="eastAsia"/>
                <w:sz w:val="24"/>
                <w:szCs w:val="24"/>
              </w:rPr>
              <w:t>对以下方面所需的监视、测量、分析和改进过程进行策划和实施：</w:t>
            </w:r>
          </w:p>
          <w:p>
            <w:pPr>
              <w:rPr>
                <w:sz w:val="24"/>
                <w:szCs w:val="24"/>
              </w:rPr>
            </w:pPr>
            <w:r>
              <w:rPr>
                <w:rFonts w:hint="eastAsia"/>
                <w:sz w:val="24"/>
                <w:szCs w:val="24"/>
              </w:rPr>
              <w:t>1.证实产品生产和和研发满足规定的要求；</w:t>
            </w:r>
          </w:p>
          <w:p>
            <w:pPr>
              <w:rPr>
                <w:sz w:val="24"/>
                <w:szCs w:val="24"/>
              </w:rPr>
            </w:pPr>
            <w:r>
              <w:rPr>
                <w:rFonts w:hint="eastAsia"/>
                <w:sz w:val="24"/>
                <w:szCs w:val="24"/>
              </w:rPr>
              <w:t>2.确保管理体系的符合性；</w:t>
            </w:r>
          </w:p>
          <w:p>
            <w:pPr>
              <w:rPr>
                <w:sz w:val="24"/>
                <w:szCs w:val="24"/>
              </w:rPr>
            </w:pPr>
            <w:r>
              <w:rPr>
                <w:rFonts w:hint="eastAsia"/>
                <w:sz w:val="24"/>
                <w:szCs w:val="24"/>
              </w:rPr>
              <w:t>3.持续改进管理体系的有效性。</w:t>
            </w:r>
          </w:p>
          <w:p>
            <w:pPr>
              <w:rPr>
                <w:sz w:val="24"/>
                <w:szCs w:val="24"/>
              </w:rPr>
            </w:pPr>
            <w:r>
              <w:rPr>
                <w:rFonts w:hint="eastAsia"/>
                <w:sz w:val="24"/>
                <w:szCs w:val="24"/>
              </w:rPr>
              <w:t>根据不同过程、不同产品和不同要求，采取不同的方法进行监视、测量和分析。</w:t>
            </w:r>
          </w:p>
          <w:p>
            <w:pPr>
              <w:rPr>
                <w:sz w:val="24"/>
                <w:szCs w:val="24"/>
              </w:rPr>
            </w:pPr>
            <w:r>
              <w:rPr>
                <w:rFonts w:hint="eastAsia"/>
                <w:sz w:val="24"/>
                <w:szCs w:val="24"/>
              </w:rPr>
              <w:t>公司利用管理方针、目标、内审和外审、数据分析、纠正和预防措施以及管理评审，识别任何改进的机会，持续改进管理体系的适宜性、充分性和有效性。详见相关条款审核记录。</w:t>
            </w:r>
          </w:p>
        </w:tc>
        <w:tc>
          <w:tcPr>
            <w:tcW w:w="89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宋体" w:hAnsi="宋体" w:cs="宋体"/>
                <w:szCs w:val="21"/>
              </w:rPr>
            </w:pPr>
          </w:p>
        </w:tc>
        <w:tc>
          <w:tcPr>
            <w:tcW w:w="1067" w:type="dxa"/>
          </w:tcPr>
          <w:p>
            <w:pPr>
              <w:spacing w:line="280" w:lineRule="exact"/>
            </w:pPr>
          </w:p>
        </w:tc>
        <w:tc>
          <w:tcPr>
            <w:tcW w:w="10587" w:type="dxa"/>
            <w:vAlign w:val="center"/>
          </w:tcPr>
          <w:p>
            <w:r>
              <w:rPr>
                <w:rFonts w:hint="eastAsia"/>
              </w:rPr>
              <w:t>顾客投诉情况：未发生</w:t>
            </w:r>
          </w:p>
          <w:p>
            <w:r>
              <w:rPr>
                <w:rFonts w:hint="eastAsia"/>
              </w:rPr>
              <w:t>法律法规：符合要求</w:t>
            </w:r>
          </w:p>
          <w:p>
            <w:r>
              <w:rPr>
                <w:rFonts w:hint="eastAsia"/>
              </w:rPr>
              <w:t>上级检查情况：未发生</w:t>
            </w:r>
          </w:p>
          <w:p>
            <w:r>
              <w:rPr>
                <w:rFonts w:hint="eastAsia"/>
              </w:rPr>
              <w:t>主要用于投标，未发现违规使用证据</w:t>
            </w:r>
          </w:p>
          <w:p>
            <w:r>
              <w:rPr>
                <w:rFonts w:hint="eastAsia"/>
              </w:rPr>
              <w:t>质量抽查：体系运行期间未进行抽查情况。</w:t>
            </w:r>
          </w:p>
          <w:p>
            <w:pPr>
              <w:rPr>
                <w:rFonts w:hint="eastAsia" w:ascii="Times New Roman" w:hAnsi="Times New Roman" w:eastAsia="宋体" w:cs="Times New Roman"/>
              </w:rPr>
            </w:pPr>
            <w:r>
              <w:rPr>
                <w:rFonts w:hint="eastAsia"/>
              </w:rPr>
              <w:t>在</w:t>
            </w:r>
            <w:r>
              <w:rPr>
                <w:rFonts w:hint="eastAsia" w:ascii="Times New Roman" w:hAnsi="Times New Roman" w:eastAsia="宋体" w:cs="Times New Roman"/>
              </w:rPr>
              <w:t>体系运行期间未发生重大质量安全事故。</w:t>
            </w:r>
          </w:p>
          <w:p>
            <w:pPr>
              <w:rPr>
                <w:rFonts w:hint="eastAsia" w:ascii="Times New Roman" w:hAnsi="Times New Roman" w:eastAsia="宋体" w:cs="Times New Roman"/>
              </w:rPr>
            </w:pPr>
            <w:r>
              <w:rPr>
                <w:rFonts w:hint="eastAsia" w:ascii="Times New Roman" w:hAnsi="Times New Roman" w:eastAsia="宋体" w:cs="Times New Roman"/>
              </w:rPr>
              <w:t>变更：无</w:t>
            </w:r>
          </w:p>
          <w:p>
            <w:pPr>
              <w:rPr>
                <w:rFonts w:hint="default" w:ascii="Times New Roman" w:hAnsi="Times New Roman" w:eastAsia="宋体" w:cs="Times New Roman"/>
                <w:lang w:val="en-US" w:eastAsia="zh-CN"/>
              </w:rPr>
            </w:pPr>
            <w:bookmarkStart w:id="0" w:name="_GoBack"/>
            <w:r>
              <w:rPr>
                <w:rFonts w:hint="eastAsia" w:ascii="Times New Roman" w:hAnsi="Times New Roman" w:eastAsia="宋体" w:cs="Times New Roman"/>
              </w:rPr>
              <w:t>上年度不符合：</w:t>
            </w:r>
            <w:r>
              <w:rPr>
                <w:rFonts w:hint="eastAsia" w:ascii="Times New Roman" w:hAnsi="Times New Roman" w:eastAsia="宋体" w:cs="Times New Roman"/>
                <w:lang w:eastAsia="zh-CN"/>
              </w:rPr>
              <w:t>“查</w:t>
            </w:r>
            <w:r>
              <w:rPr>
                <w:rFonts w:hint="eastAsia" w:ascii="Times New Roman" w:hAnsi="Times New Roman" w:eastAsia="宋体" w:cs="Times New Roman"/>
                <w:lang w:val="en-US" w:eastAsia="zh-CN"/>
              </w:rPr>
              <w:t>综合部</w:t>
            </w:r>
            <w:r>
              <w:rPr>
                <w:rFonts w:hint="eastAsia" w:ascii="Times New Roman" w:hAnsi="Times New Roman" w:eastAsia="宋体" w:cs="Times New Roman"/>
                <w:lang w:eastAsia="zh-CN"/>
              </w:rPr>
              <w:t>办公</w:t>
            </w:r>
            <w:r>
              <w:rPr>
                <w:rFonts w:hint="eastAsia" w:ascii="Times New Roman" w:hAnsi="Times New Roman" w:eastAsia="宋体" w:cs="Times New Roman"/>
                <w:lang w:val="en-US" w:eastAsia="zh-CN"/>
              </w:rPr>
              <w:t>现场</w:t>
            </w:r>
            <w:r>
              <w:rPr>
                <w:rFonts w:hint="eastAsia" w:ascii="Times New Roman" w:hAnsi="Times New Roman" w:eastAsia="宋体" w:cs="Times New Roman"/>
                <w:lang w:eastAsia="zh-CN"/>
              </w:rPr>
              <w:t>没有</w:t>
            </w:r>
            <w:r>
              <w:rPr>
                <w:rFonts w:hint="eastAsia" w:ascii="Times New Roman" w:hAnsi="Times New Roman" w:eastAsia="宋体" w:cs="Times New Roman"/>
                <w:lang w:val="en-US" w:eastAsia="zh-CN"/>
              </w:rPr>
              <w:t>配置灭火器”，本次审核无此情况在出现，整改有效</w:t>
            </w:r>
          </w:p>
          <w:bookmarkEnd w:id="0"/>
          <w:p>
            <w:pPr>
              <w:rPr>
                <w:rFonts w:hint="eastAsia"/>
                <w:sz w:val="24"/>
                <w:szCs w:val="24"/>
              </w:rPr>
            </w:pPr>
          </w:p>
        </w:tc>
        <w:tc>
          <w:tcPr>
            <w:tcW w:w="895" w:type="dxa"/>
          </w:tcPr>
          <w:p>
            <w:pPr>
              <w:rPr>
                <w:rFonts w:hint="eastAsia"/>
              </w:rPr>
            </w:pPr>
          </w:p>
        </w:tc>
      </w:tr>
    </w:tbl>
    <w:p>
      <w:r>
        <w:ptab w:relativeTo="margin" w:alignment="center" w:leader="none"/>
      </w:r>
    </w:p>
    <w:p/>
    <w:p/>
    <w:p>
      <w:pPr>
        <w:pStyle w:val="4"/>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A606B"/>
    <w:multiLevelType w:val="singleLevel"/>
    <w:tmpl w:val="621A606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B1838"/>
    <w:rsid w:val="00101375"/>
    <w:rsid w:val="0010154F"/>
    <w:rsid w:val="001A2D7F"/>
    <w:rsid w:val="002E373B"/>
    <w:rsid w:val="00337922"/>
    <w:rsid w:val="00340867"/>
    <w:rsid w:val="0035144B"/>
    <w:rsid w:val="0035330F"/>
    <w:rsid w:val="00380837"/>
    <w:rsid w:val="003A198A"/>
    <w:rsid w:val="00410914"/>
    <w:rsid w:val="004435D3"/>
    <w:rsid w:val="004A462B"/>
    <w:rsid w:val="00536930"/>
    <w:rsid w:val="00554E63"/>
    <w:rsid w:val="005569F7"/>
    <w:rsid w:val="00564E53"/>
    <w:rsid w:val="00591543"/>
    <w:rsid w:val="005A0082"/>
    <w:rsid w:val="005F1B9C"/>
    <w:rsid w:val="00644FE2"/>
    <w:rsid w:val="0067640C"/>
    <w:rsid w:val="0069035A"/>
    <w:rsid w:val="00690DA9"/>
    <w:rsid w:val="006E678B"/>
    <w:rsid w:val="007757F3"/>
    <w:rsid w:val="007A306D"/>
    <w:rsid w:val="007E6AEB"/>
    <w:rsid w:val="00805309"/>
    <w:rsid w:val="008973EE"/>
    <w:rsid w:val="00971600"/>
    <w:rsid w:val="00991304"/>
    <w:rsid w:val="009973B4"/>
    <w:rsid w:val="009C28C1"/>
    <w:rsid w:val="009F09BE"/>
    <w:rsid w:val="009F7EED"/>
    <w:rsid w:val="00A05F5C"/>
    <w:rsid w:val="00A21344"/>
    <w:rsid w:val="00A84C9B"/>
    <w:rsid w:val="00AF0AAB"/>
    <w:rsid w:val="00BD7852"/>
    <w:rsid w:val="00BF597E"/>
    <w:rsid w:val="00BF6C3F"/>
    <w:rsid w:val="00C408F7"/>
    <w:rsid w:val="00C51A36"/>
    <w:rsid w:val="00C55228"/>
    <w:rsid w:val="00CE315A"/>
    <w:rsid w:val="00D06F59"/>
    <w:rsid w:val="00D07EA0"/>
    <w:rsid w:val="00D6743D"/>
    <w:rsid w:val="00D8388C"/>
    <w:rsid w:val="00EB0164"/>
    <w:rsid w:val="00ED0F62"/>
    <w:rsid w:val="00F27548"/>
    <w:rsid w:val="00FC3F8B"/>
    <w:rsid w:val="02B84719"/>
    <w:rsid w:val="03640893"/>
    <w:rsid w:val="069E7BAA"/>
    <w:rsid w:val="087032D5"/>
    <w:rsid w:val="09F832E0"/>
    <w:rsid w:val="0AE65CCB"/>
    <w:rsid w:val="0B250CFE"/>
    <w:rsid w:val="0DB71123"/>
    <w:rsid w:val="0F2A4576"/>
    <w:rsid w:val="0FB77A13"/>
    <w:rsid w:val="102A2CE8"/>
    <w:rsid w:val="108219C2"/>
    <w:rsid w:val="113A015C"/>
    <w:rsid w:val="14634EB3"/>
    <w:rsid w:val="15AB31D4"/>
    <w:rsid w:val="170D1054"/>
    <w:rsid w:val="201C35DE"/>
    <w:rsid w:val="246E1326"/>
    <w:rsid w:val="24FE116D"/>
    <w:rsid w:val="25EB74EE"/>
    <w:rsid w:val="28491A9D"/>
    <w:rsid w:val="2D807A3F"/>
    <w:rsid w:val="2E4E2574"/>
    <w:rsid w:val="30A27C87"/>
    <w:rsid w:val="312266EE"/>
    <w:rsid w:val="33C1715A"/>
    <w:rsid w:val="34524295"/>
    <w:rsid w:val="34ED1C2F"/>
    <w:rsid w:val="351279DA"/>
    <w:rsid w:val="39A30999"/>
    <w:rsid w:val="3DAC16ED"/>
    <w:rsid w:val="3E03163F"/>
    <w:rsid w:val="3E183177"/>
    <w:rsid w:val="41C05420"/>
    <w:rsid w:val="4A5F6016"/>
    <w:rsid w:val="4D2860C7"/>
    <w:rsid w:val="4DE94ACF"/>
    <w:rsid w:val="52447F1C"/>
    <w:rsid w:val="5B270D40"/>
    <w:rsid w:val="5EA12B9A"/>
    <w:rsid w:val="6147060A"/>
    <w:rsid w:val="61DC0836"/>
    <w:rsid w:val="62041CAE"/>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TUV</Company>
  <Pages>12</Pages>
  <Words>927</Words>
  <Characters>5289</Characters>
  <Lines>44</Lines>
  <Paragraphs>12</Paragraphs>
  <TotalTime>1</TotalTime>
  <ScaleCrop>false</ScaleCrop>
  <LinksUpToDate>false</LinksUpToDate>
  <CharactersWithSpaces>6204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2021-08-17T08:42:13Z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MSIP_Label_d3d538fd-7cd2-4b8b-bd42-f6ee8cc1e568_Enabled">
    <vt:lpwstr>true</vt:lpwstr>
  </property>
  <property fmtid="{D5CDD505-2E9C-101B-9397-08002B2CF9AE}" pid="4" name="MSIP_Label_d3d538fd-7cd2-4b8b-bd42-f6ee8cc1e568_SetDate">
    <vt:lpwstr>2021-08-04T03:42:22Z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4544fdc9-99d6-44de-a863-41c83efef4db</vt:lpwstr>
  </property>
  <property fmtid="{D5CDD505-2E9C-101B-9397-08002B2CF9AE}" pid="9" name="MSIP_Label_d3d538fd-7cd2-4b8b-bd42-f6ee8cc1e568_ContentBits">
    <vt:lpwstr>0</vt:lpwstr>
  </property>
  <property fmtid="{D5CDD505-2E9C-101B-9397-08002B2CF9AE}" pid="10" name="ICV">
    <vt:lpwstr>C1AD6FE614D94B3893E24DCD907B4B05</vt:lpwstr>
  </property>
</Properties>
</file>