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rPr>
            </w:pPr>
            <w:r>
              <w:rPr>
                <w:rFonts w:hint="eastAsia" w:ascii="楷体" w:hAnsi="楷体" w:eastAsia="楷体"/>
                <w:sz w:val="24"/>
                <w:szCs w:val="24"/>
              </w:rPr>
              <w:t>受审核部门：</w:t>
            </w:r>
            <w:r>
              <w:rPr>
                <w:rFonts w:hint="eastAsia" w:ascii="楷体" w:hAnsi="楷体" w:eastAsia="楷体" w:cs="Times New Roman"/>
                <w:sz w:val="24"/>
                <w:szCs w:val="24"/>
                <w:lang w:val="en-US" w:eastAsia="zh-CN"/>
              </w:rPr>
              <w:t>综合</w:t>
            </w:r>
            <w:r>
              <w:rPr>
                <w:rFonts w:hint="eastAsia" w:ascii="楷体" w:hAnsi="楷体" w:eastAsia="楷体" w:cs="Times New Roman"/>
                <w:sz w:val="24"/>
                <w:szCs w:val="24"/>
              </w:rPr>
              <w:t xml:space="preserve">部 </w:t>
            </w:r>
            <w:r>
              <w:rPr>
                <w:rFonts w:hint="eastAsia" w:ascii="楷体" w:hAnsi="楷体" w:eastAsia="楷体"/>
                <w:sz w:val="24"/>
                <w:szCs w:val="24"/>
              </w:rPr>
              <w:t xml:space="preserve">   主管领导：</w:t>
            </w:r>
            <w:r>
              <w:rPr>
                <w:rFonts w:hint="eastAsia" w:ascii="楷体" w:hAnsi="楷体" w:eastAsia="楷体"/>
                <w:sz w:val="24"/>
                <w:szCs w:val="24"/>
                <w:lang w:val="en-US" w:eastAsia="zh-CN"/>
              </w:rPr>
              <w:t>王红</w:t>
            </w:r>
            <w:r>
              <w:rPr>
                <w:rFonts w:hint="eastAsia" w:ascii="楷体" w:hAnsi="楷体" w:eastAsia="楷体"/>
                <w:sz w:val="24"/>
                <w:szCs w:val="24"/>
              </w:rPr>
              <w:t xml:space="preserve">   </w:t>
            </w:r>
            <w:r>
              <w:rPr>
                <w:rFonts w:hint="eastAsia" w:ascii="楷体" w:hAnsi="楷体" w:eastAsia="楷体"/>
                <w:sz w:val="24"/>
                <w:szCs w:val="24"/>
                <w:lang w:val="en-US" w:eastAsia="zh-CN"/>
              </w:rPr>
              <w:t xml:space="preserve">              </w:t>
            </w:r>
            <w:r>
              <w:rPr>
                <w:rFonts w:hint="eastAsia" w:ascii="楷体" w:hAnsi="楷体" w:eastAsia="楷体"/>
                <w:sz w:val="24"/>
                <w:szCs w:val="24"/>
              </w:rPr>
              <w:t>陪同人员：</w:t>
            </w:r>
            <w:r>
              <w:rPr>
                <w:rFonts w:hint="eastAsia" w:ascii="楷体" w:hAnsi="楷体" w:eastAsia="楷体"/>
                <w:sz w:val="24"/>
                <w:szCs w:val="24"/>
                <w:lang w:val="en-US" w:eastAsia="zh-CN"/>
              </w:rPr>
              <w:t>吕珂玲</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ascii="楷体" w:hAnsi="楷体" w:eastAsia="楷体"/>
                <w:sz w:val="24"/>
                <w:szCs w:val="24"/>
              </w:rPr>
            </w:pPr>
            <w:r>
              <w:rPr>
                <w:rFonts w:hint="eastAsia" w:ascii="楷体" w:hAnsi="楷体" w:eastAsia="楷体"/>
                <w:sz w:val="24"/>
                <w:szCs w:val="24"/>
              </w:rPr>
              <w:t>审核员：</w:t>
            </w:r>
            <w:r>
              <w:rPr>
                <w:rFonts w:hint="eastAsia" w:ascii="楷体" w:hAnsi="楷体" w:eastAsia="楷体"/>
                <w:sz w:val="24"/>
                <w:szCs w:val="24"/>
                <w:lang w:val="en-US" w:eastAsia="zh-CN"/>
              </w:rPr>
              <w:t>李俐</w:t>
            </w:r>
            <w:r>
              <w:rPr>
                <w:rFonts w:hint="eastAsia" w:ascii="楷体" w:hAnsi="楷体" w:eastAsia="楷体"/>
                <w:sz w:val="24"/>
                <w:szCs w:val="24"/>
              </w:rPr>
              <w:t xml:space="preserve">        </w:t>
            </w:r>
            <w:r>
              <w:rPr>
                <w:rFonts w:hint="eastAsia" w:ascii="楷体" w:hAnsi="楷体" w:eastAsia="楷体"/>
                <w:sz w:val="24"/>
                <w:szCs w:val="24"/>
                <w:lang w:val="en-US" w:eastAsia="zh-CN"/>
              </w:rPr>
              <w:t xml:space="preserve">                         </w:t>
            </w:r>
            <w:r>
              <w:rPr>
                <w:rFonts w:hint="eastAsia" w:ascii="楷体" w:hAnsi="楷体" w:eastAsia="楷体"/>
                <w:sz w:val="24"/>
                <w:szCs w:val="24"/>
              </w:rPr>
              <w:t>审核时间：20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8.5</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line="360" w:lineRule="auto"/>
              <w:rPr>
                <w:rFonts w:hint="eastAsia" w:ascii="楷体" w:hAnsi="楷体" w:eastAsia="楷体"/>
                <w:sz w:val="24"/>
                <w:szCs w:val="24"/>
              </w:rPr>
            </w:pPr>
            <w:r>
              <w:rPr>
                <w:rFonts w:hint="eastAsia" w:ascii="楷体" w:hAnsi="楷体" w:eastAsia="楷体"/>
                <w:sz w:val="24"/>
                <w:szCs w:val="24"/>
              </w:rPr>
              <w:t>审核条款：</w:t>
            </w:r>
          </w:p>
          <w:p>
            <w:pPr>
              <w:spacing w:line="360" w:lineRule="auto"/>
              <w:rPr>
                <w:rFonts w:hint="default" w:ascii="楷体" w:hAnsi="楷体" w:eastAsia="楷体"/>
                <w:sz w:val="24"/>
                <w:szCs w:val="24"/>
                <w:lang w:val="en-US" w:eastAsia="zh-CN"/>
              </w:rPr>
            </w:pPr>
            <w:r>
              <w:rPr>
                <w:rFonts w:hint="eastAsia" w:ascii="楷体" w:hAnsi="楷体" w:eastAsia="楷体" w:cs="Times New Roman"/>
                <w:sz w:val="24"/>
                <w:szCs w:val="24"/>
              </w:rPr>
              <w:t>EMS: 5.3组织的岗位、职责和权限、6.1.2环境因素、6.1.3合规义务、6.2.1环境目标、6.2.2实现环境目标措施的策划</w:t>
            </w:r>
            <w:r>
              <w:rPr>
                <w:rFonts w:hint="eastAsia" w:ascii="楷体" w:hAnsi="楷体" w:eastAsia="楷体" w:cs="Times New Roman"/>
                <w:sz w:val="24"/>
                <w:szCs w:val="24"/>
                <w:lang w:eastAsia="zh-CN"/>
              </w:rPr>
              <w:t>、</w:t>
            </w:r>
            <w:r>
              <w:rPr>
                <w:rFonts w:hint="eastAsia" w:ascii="楷体" w:hAnsi="楷体" w:eastAsia="楷体" w:cs="Times New Roman"/>
                <w:sz w:val="24"/>
                <w:szCs w:val="24"/>
              </w:rPr>
              <w:t>7.2能力、7.3意识、7.5.形成文件的信息、8.1运行策划和控制</w:t>
            </w:r>
            <w:r>
              <w:rPr>
                <w:rFonts w:hint="eastAsia" w:ascii="楷体" w:hAnsi="楷体" w:eastAsia="楷体" w:cs="Times New Roman"/>
                <w:sz w:val="24"/>
                <w:szCs w:val="24"/>
                <w:lang w:eastAsia="zh-CN"/>
              </w:rPr>
              <w:t>、</w:t>
            </w:r>
            <w:r>
              <w:rPr>
                <w:rFonts w:hint="eastAsia" w:ascii="楷体" w:hAnsi="楷体" w:eastAsia="楷体" w:cs="Times New Roman"/>
                <w:sz w:val="24"/>
                <w:szCs w:val="24"/>
              </w:rPr>
              <w:t>8.2应急准备和响应、9.1监视、测量、分析和评价9.2 内部审核、10.2不合格和纠正措施</w:t>
            </w:r>
            <w:r>
              <w:rPr>
                <w:rFonts w:hint="eastAsia" w:ascii="楷体" w:hAnsi="楷体" w:eastAsia="楷体" w:cs="Times New Roman"/>
                <w:sz w:val="24"/>
                <w:szCs w:val="24"/>
                <w:lang w:val="en-US" w:eastAsia="zh-CN"/>
              </w:rPr>
              <w:t>。</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组织的岗位、职责、和权限</w:t>
            </w:r>
          </w:p>
        </w:tc>
        <w:tc>
          <w:tcPr>
            <w:tcW w:w="1311" w:type="dxa"/>
          </w:tcPr>
          <w:p>
            <w:pPr>
              <w:spacing w:line="360" w:lineRule="auto"/>
              <w:rPr>
                <w:rFonts w:hint="eastAsia" w:ascii="楷体" w:hAnsi="楷体" w:eastAsia="楷体" w:cs="宋体"/>
                <w:bCs/>
                <w:sz w:val="24"/>
                <w:szCs w:val="24"/>
              </w:rPr>
            </w:pPr>
          </w:p>
          <w:p>
            <w:pPr>
              <w:spacing w:line="360" w:lineRule="auto"/>
              <w:rPr>
                <w:rFonts w:hint="eastAsia" w:ascii="楷体" w:hAnsi="楷体" w:eastAsia="楷体" w:cs="宋体"/>
                <w:bCs/>
                <w:sz w:val="24"/>
                <w:szCs w:val="24"/>
              </w:rPr>
            </w:pPr>
          </w:p>
          <w:p>
            <w:pPr>
              <w:spacing w:line="360" w:lineRule="auto"/>
              <w:rPr>
                <w:rFonts w:ascii="楷体" w:hAnsi="楷体" w:eastAsia="楷体" w:cs="宋体"/>
                <w:bCs/>
                <w:sz w:val="24"/>
                <w:szCs w:val="24"/>
              </w:rPr>
            </w:pPr>
            <w:r>
              <w:rPr>
                <w:rFonts w:hint="eastAsia" w:ascii="楷体" w:hAnsi="楷体" w:eastAsia="楷体" w:cs="宋体"/>
                <w:bCs/>
                <w:sz w:val="24"/>
                <w:szCs w:val="24"/>
              </w:rPr>
              <w:t>E：5.3</w:t>
            </w:r>
          </w:p>
          <w:p>
            <w:pPr>
              <w:spacing w:line="360" w:lineRule="auto"/>
              <w:rPr>
                <w:rFonts w:ascii="楷体" w:hAnsi="楷体" w:eastAsia="楷体" w:cs="Arial"/>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询问综合部负责人，了解该部门</w:t>
            </w:r>
            <w:r>
              <w:rPr>
                <w:rFonts w:hint="eastAsia" w:ascii="楷体" w:hAnsi="楷体" w:eastAsia="楷体"/>
                <w:sz w:val="24"/>
                <w:szCs w:val="24"/>
              </w:rPr>
              <w:t>主要负责:体系建立实施与完善，人力资源配备，员工培训考核管理;环境因素和危险源进行识别和控制;固体废弃物的管理</w:t>
            </w:r>
            <w:r>
              <w:rPr>
                <w:rFonts w:hint="eastAsia" w:ascii="楷体" w:hAnsi="楷体" w:eastAsia="楷体"/>
                <w:sz w:val="24"/>
                <w:szCs w:val="24"/>
                <w:lang w:eastAsia="zh-CN"/>
              </w:rPr>
              <w:t>；</w:t>
            </w:r>
            <w:r>
              <w:rPr>
                <w:rFonts w:hint="eastAsia" w:ascii="楷体" w:hAnsi="楷体" w:eastAsia="楷体"/>
                <w:sz w:val="24"/>
                <w:szCs w:val="24"/>
              </w:rPr>
              <w:t>信息交流与传递;法律法规及其他要求获取及适用性评价，应急预案和应急网络的编制，定期组织人员进行应急模拟演习</w:t>
            </w:r>
            <w:r>
              <w:rPr>
                <w:rFonts w:hint="eastAsia" w:ascii="楷体" w:hAnsi="楷体" w:eastAsia="楷体"/>
                <w:sz w:val="24"/>
                <w:szCs w:val="24"/>
                <w:lang w:eastAsia="zh-CN"/>
              </w:rPr>
              <w:t>；</w:t>
            </w:r>
            <w:r>
              <w:rPr>
                <w:rFonts w:hint="eastAsia" w:ascii="楷体" w:hAnsi="楷体" w:eastAsia="楷体"/>
                <w:sz w:val="24"/>
                <w:szCs w:val="24"/>
              </w:rPr>
              <w:t>体系运行检查、内审等。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经交流</w:t>
            </w:r>
            <w:r>
              <w:rPr>
                <w:rFonts w:hint="eastAsia" w:ascii="楷体" w:hAnsi="楷体" w:eastAsia="楷体"/>
                <w:sz w:val="24"/>
                <w:szCs w:val="24"/>
                <w:lang w:val="en-US" w:eastAsia="zh-CN"/>
              </w:rPr>
              <w:t>综合部长梁微</w:t>
            </w:r>
            <w:r>
              <w:rPr>
                <w:rFonts w:hint="eastAsia" w:ascii="楷体" w:hAnsi="楷体" w:eastAsia="楷体"/>
                <w:sz w:val="24"/>
                <w:szCs w:val="24"/>
              </w:rPr>
              <w:t>对体系要求的职责基本理解，并能按照职责要求去做，本部门的职责权限得到了有效的落实，未发现因职责不清责任不明而造成体系运行失效的情况。</w:t>
            </w:r>
          </w:p>
        </w:tc>
        <w:tc>
          <w:tcPr>
            <w:tcW w:w="1585" w:type="dxa"/>
          </w:tcPr>
          <w:p>
            <w:pPr>
              <w:spacing w:line="360" w:lineRule="auto"/>
              <w:rPr>
                <w:rFonts w:hint="eastAsia" w:ascii="楷体" w:hAnsi="楷体" w:eastAsia="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1809" w:type="dxa"/>
            <w:vAlign w:val="center"/>
          </w:tcPr>
          <w:p>
            <w:pPr>
              <w:spacing w:line="360" w:lineRule="auto"/>
              <w:rPr>
                <w:rFonts w:hint="eastAsia" w:ascii="楷体" w:hAnsi="楷体" w:eastAsia="楷体" w:cs="Times New Roman"/>
                <w:kern w:val="2"/>
                <w:sz w:val="24"/>
                <w:szCs w:val="24"/>
                <w:lang w:val="en-US" w:eastAsia="zh-CN" w:bidi="ar-SA"/>
              </w:rPr>
            </w:pPr>
            <w:r>
              <w:rPr>
                <w:rFonts w:ascii="楷体" w:hAnsi="楷体" w:eastAsia="楷体"/>
                <w:sz w:val="24"/>
                <w:szCs w:val="24"/>
              </w:rPr>
              <w:t>目标</w:t>
            </w:r>
          </w:p>
        </w:tc>
        <w:tc>
          <w:tcPr>
            <w:tcW w:w="1311" w:type="dxa"/>
            <w:vAlign w:val="center"/>
          </w:tcPr>
          <w:p>
            <w:pPr>
              <w:tabs>
                <w:tab w:val="left" w:pos="6597"/>
              </w:tabs>
              <w:spacing w:line="360" w:lineRule="auto"/>
              <w:rPr>
                <w:rFonts w:ascii="楷体" w:hAnsi="楷体" w:eastAsia="楷体" w:cs="楷体"/>
                <w:kern w:val="2"/>
                <w:sz w:val="24"/>
                <w:szCs w:val="24"/>
                <w:lang w:val="en-US" w:eastAsia="zh-CN" w:bidi="ar-SA"/>
              </w:rPr>
            </w:pPr>
            <w:r>
              <w:rPr>
                <w:rFonts w:hint="eastAsia" w:ascii="楷体" w:hAnsi="楷体" w:eastAsia="楷体" w:cs="楷体"/>
                <w:sz w:val="24"/>
                <w:szCs w:val="24"/>
              </w:rPr>
              <w:t>E：6.2</w:t>
            </w:r>
          </w:p>
        </w:tc>
        <w:tc>
          <w:tcPr>
            <w:tcW w:w="10004" w:type="dxa"/>
            <w:vAlign w:val="top"/>
          </w:tcPr>
          <w:p>
            <w:pPr>
              <w:adjustRightInd w:val="0"/>
              <w:spacing w:line="360" w:lineRule="auto"/>
              <w:rPr>
                <w:rFonts w:ascii="楷体" w:hAnsi="楷体" w:eastAsia="楷体" w:cs="楷体"/>
                <w:sz w:val="24"/>
                <w:szCs w:val="24"/>
              </w:rPr>
            </w:pPr>
            <w:r>
              <w:rPr>
                <w:rFonts w:hint="eastAsia" w:ascii="楷体" w:hAnsi="楷体" w:eastAsia="楷体" w:cs="楷体"/>
                <w:sz w:val="24"/>
                <w:szCs w:val="24"/>
              </w:rPr>
              <w:t>查到公司的环境目标：各类固废处置符合相关法规要求，固废分类存放有效处置率达</w:t>
            </w:r>
            <w:r>
              <w:rPr>
                <w:rFonts w:ascii="楷体" w:hAnsi="楷体" w:eastAsia="楷体" w:cs="楷体"/>
                <w:sz w:val="24"/>
                <w:szCs w:val="24"/>
              </w:rPr>
              <w:t>100%</w:t>
            </w:r>
            <w:r>
              <w:rPr>
                <w:rFonts w:hint="eastAsia" w:ascii="楷体" w:hAnsi="楷体" w:eastAsia="楷体" w:cs="楷体"/>
                <w:sz w:val="24"/>
                <w:szCs w:val="24"/>
              </w:rPr>
              <w:t>；火灾事故发生次数为零。</w:t>
            </w:r>
          </w:p>
          <w:p>
            <w:pPr>
              <w:autoSpaceDE w:val="0"/>
              <w:autoSpaceDN w:val="0"/>
              <w:spacing w:line="360" w:lineRule="auto"/>
              <w:rPr>
                <w:rFonts w:ascii="楷体" w:hAnsi="楷体" w:eastAsia="楷体" w:cs="楷体"/>
                <w:sz w:val="24"/>
                <w:szCs w:val="24"/>
              </w:rPr>
            </w:pPr>
            <w:r>
              <w:rPr>
                <w:rFonts w:hint="eastAsia" w:ascii="楷体" w:hAnsi="楷体" w:eastAsia="楷体" w:cs="楷体"/>
                <w:sz w:val="24"/>
                <w:szCs w:val="24"/>
              </w:rPr>
              <w:t>查到</w:t>
            </w:r>
            <w:r>
              <w:rPr>
                <w:rFonts w:hint="eastAsia" w:ascii="楷体" w:hAnsi="楷体" w:eastAsia="楷体" w:cs="楷体"/>
                <w:sz w:val="24"/>
                <w:szCs w:val="24"/>
                <w:lang w:eastAsia="zh-CN"/>
              </w:rPr>
              <w:t>综合部</w:t>
            </w:r>
            <w:r>
              <w:rPr>
                <w:rFonts w:hint="eastAsia" w:ascii="楷体" w:hAnsi="楷体" w:eastAsia="楷体" w:cs="楷体"/>
                <w:sz w:val="24"/>
                <w:szCs w:val="24"/>
              </w:rPr>
              <w:t>的目标完成情况统计表：固废统一收集和回收，100%完成；杜绝火灾事故，0次。考核情况，20</w:t>
            </w:r>
            <w:r>
              <w:rPr>
                <w:rFonts w:hint="eastAsia" w:ascii="楷体" w:hAnsi="楷体" w:eastAsia="楷体" w:cs="楷体"/>
                <w:sz w:val="24"/>
                <w:szCs w:val="24"/>
                <w:lang w:val="en-US" w:eastAsia="zh-CN"/>
              </w:rPr>
              <w:t>21</w:t>
            </w: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.30日经查已完成。</w:t>
            </w:r>
          </w:p>
          <w:p>
            <w:pPr>
              <w:autoSpaceDE w:val="0"/>
              <w:autoSpaceDN w:val="0"/>
              <w:spacing w:line="360" w:lineRule="auto"/>
              <w:rPr>
                <w:rFonts w:ascii="楷体" w:hAnsi="楷体" w:eastAsia="楷体" w:cs="楷体"/>
                <w:sz w:val="24"/>
                <w:szCs w:val="24"/>
              </w:rPr>
            </w:pPr>
            <w:r>
              <w:rPr>
                <w:rFonts w:hint="eastAsia" w:ascii="楷体" w:hAnsi="楷体" w:eastAsia="楷体" w:cs="楷体"/>
                <w:sz w:val="24"/>
                <w:szCs w:val="24"/>
              </w:rPr>
              <w:t>查到公司制定的20</w:t>
            </w:r>
            <w:r>
              <w:rPr>
                <w:rFonts w:hint="eastAsia" w:ascii="楷体" w:hAnsi="楷体" w:eastAsia="楷体" w:cs="楷体"/>
                <w:sz w:val="24"/>
                <w:szCs w:val="24"/>
                <w:lang w:val="en-US" w:eastAsia="zh-CN"/>
              </w:rPr>
              <w:t>21</w:t>
            </w:r>
            <w:r>
              <w:rPr>
                <w:rFonts w:hint="eastAsia" w:ascii="楷体" w:hAnsi="楷体" w:eastAsia="楷体" w:cs="楷体"/>
                <w:sz w:val="24"/>
                <w:szCs w:val="24"/>
              </w:rPr>
              <w:t>年度“管理方案”，</w:t>
            </w:r>
          </w:p>
          <w:p>
            <w:pPr>
              <w:autoSpaceDE w:val="0"/>
              <w:autoSpaceDN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抽查固废处理管理方案，</w:t>
            </w:r>
          </w:p>
          <w:p>
            <w:pPr>
              <w:autoSpaceDE w:val="0"/>
              <w:autoSpaceDN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管理目标：办公</w:t>
            </w:r>
            <w:r>
              <w:rPr>
                <w:rFonts w:ascii="楷体" w:hAnsi="楷体" w:eastAsia="楷体" w:cs="楷体"/>
                <w:sz w:val="24"/>
                <w:szCs w:val="24"/>
              </w:rPr>
              <w:t>、生活废弃物分类收集处理率</w:t>
            </w:r>
            <w:r>
              <w:rPr>
                <w:rFonts w:hint="eastAsia" w:ascii="楷体" w:hAnsi="楷体" w:eastAsia="楷体" w:cs="楷体"/>
                <w:sz w:val="24"/>
                <w:szCs w:val="24"/>
              </w:rPr>
              <w:t>100</w:t>
            </w:r>
            <w:r>
              <w:rPr>
                <w:rFonts w:ascii="楷体" w:hAnsi="楷体" w:eastAsia="楷体" w:cs="楷体"/>
                <w:sz w:val="24"/>
                <w:szCs w:val="24"/>
              </w:rPr>
              <w:t>%</w:t>
            </w:r>
            <w:r>
              <w:rPr>
                <w:rFonts w:hint="eastAsia" w:ascii="楷体" w:hAnsi="楷体" w:eastAsia="楷体" w:cs="楷体"/>
                <w:sz w:val="24"/>
                <w:szCs w:val="24"/>
              </w:rPr>
              <w:t>，</w:t>
            </w:r>
          </w:p>
          <w:p>
            <w:pPr>
              <w:autoSpaceDE w:val="0"/>
              <w:autoSpaceDN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主要措施：对办公、生活固体废弃物实施分类管理；分三个桶分别存放可回收，不可回收，</w:t>
            </w:r>
            <w:r>
              <w:rPr>
                <w:rFonts w:hint="eastAsia" w:ascii="楷体" w:hAnsi="楷体" w:eastAsia="楷体" w:cs="楷体"/>
                <w:color w:val="000000" w:themeColor="text1"/>
                <w:sz w:val="24"/>
                <w:szCs w:val="24"/>
                <w14:textFill>
                  <w14:solidFill>
                    <w14:schemeClr w14:val="tx1"/>
                  </w14:solidFill>
                </w14:textFill>
              </w:rPr>
              <w:t>危险废弃物，对危险废弃物隔离存放，建立专门的危废临时储存点;并选择有资质的单位进行回收。责任部门</w:t>
            </w:r>
            <w:r>
              <w:rPr>
                <w:rFonts w:hint="eastAsia" w:ascii="楷体" w:hAnsi="楷体" w:eastAsia="楷体" w:cs="楷体"/>
                <w:color w:val="000000" w:themeColor="text1"/>
                <w:sz w:val="24"/>
                <w:szCs w:val="24"/>
                <w:lang w:val="en-US" w:eastAsia="zh-CN"/>
                <w14:textFill>
                  <w14:solidFill>
                    <w14:schemeClr w14:val="tx1"/>
                  </w14:solidFill>
                </w14:textFill>
              </w:rPr>
              <w:t>综合</w:t>
            </w:r>
            <w:r>
              <w:rPr>
                <w:rFonts w:hint="eastAsia" w:ascii="楷体" w:hAnsi="楷体" w:eastAsia="楷体" w:cs="楷体"/>
                <w:color w:val="000000" w:themeColor="text1"/>
                <w:sz w:val="24"/>
                <w:szCs w:val="24"/>
                <w14:textFill>
                  <w14:solidFill>
                    <w14:schemeClr w14:val="tx1"/>
                  </w14:solidFill>
                </w14:textFill>
              </w:rPr>
              <w:t>部，费用约5000元，启动日期20</w:t>
            </w:r>
            <w:r>
              <w:rPr>
                <w:rFonts w:hint="eastAsia" w:ascii="楷体" w:hAnsi="楷体" w:eastAsia="楷体" w:cs="楷体"/>
                <w:color w:val="000000" w:themeColor="text1"/>
                <w:sz w:val="24"/>
                <w:szCs w:val="24"/>
                <w:lang w:val="en-US" w:eastAsia="zh-CN"/>
                <w14:textFill>
                  <w14:solidFill>
                    <w14:schemeClr w14:val="tx1"/>
                  </w14:solidFill>
                </w14:textFill>
              </w:rPr>
              <w:t>21</w:t>
            </w:r>
            <w:r>
              <w:rPr>
                <w:rFonts w:hint="eastAsia" w:ascii="楷体" w:hAnsi="楷体" w:eastAsia="楷体" w:cs="楷体"/>
                <w:color w:val="000000" w:themeColor="text1"/>
                <w:sz w:val="24"/>
                <w:szCs w:val="24"/>
                <w14:textFill>
                  <w14:solidFill>
                    <w14:schemeClr w14:val="tx1"/>
                  </w14:solidFill>
                </w14:textFill>
              </w:rPr>
              <w:t>.0</w:t>
            </w:r>
            <w:r>
              <w:rPr>
                <w:rFonts w:hint="eastAsia" w:ascii="楷体" w:hAnsi="楷体" w:eastAsia="楷体" w:cs="楷体"/>
                <w:color w:val="000000" w:themeColor="text1"/>
                <w:sz w:val="24"/>
                <w:szCs w:val="24"/>
                <w:lang w:val="en-US" w:eastAsia="zh-CN"/>
                <w14:textFill>
                  <w14:solidFill>
                    <w14:schemeClr w14:val="tx1"/>
                  </w14:solidFill>
                </w14:textFill>
              </w:rPr>
              <w:t>1</w:t>
            </w:r>
            <w:r>
              <w:rPr>
                <w:rFonts w:hint="eastAsia" w:ascii="楷体" w:hAnsi="楷体" w:eastAsia="楷体" w:cs="楷体"/>
                <w:color w:val="000000" w:themeColor="text1"/>
                <w:sz w:val="24"/>
                <w:szCs w:val="24"/>
                <w14:textFill>
                  <w14:solidFill>
                    <w14:schemeClr w14:val="tx1"/>
                  </w14:solidFill>
                </w14:textFill>
              </w:rPr>
              <w:t>.</w:t>
            </w:r>
            <w:r>
              <w:rPr>
                <w:rFonts w:hint="eastAsia" w:ascii="楷体" w:hAnsi="楷体" w:eastAsia="楷体" w:cs="楷体"/>
                <w:color w:val="000000" w:themeColor="text1"/>
                <w:sz w:val="24"/>
                <w:szCs w:val="24"/>
                <w:lang w:val="en-US" w:eastAsia="zh-CN"/>
                <w14:textFill>
                  <w14:solidFill>
                    <w14:schemeClr w14:val="tx1"/>
                  </w14:solidFill>
                </w14:textFill>
              </w:rPr>
              <w:t>5</w:t>
            </w:r>
            <w:r>
              <w:rPr>
                <w:rFonts w:hint="eastAsia" w:ascii="楷体" w:hAnsi="楷体" w:eastAsia="楷体" w:cs="楷体"/>
                <w:color w:val="000000" w:themeColor="text1"/>
                <w:sz w:val="24"/>
                <w:szCs w:val="24"/>
                <w14:textFill>
                  <w14:solidFill>
                    <w14:schemeClr w14:val="tx1"/>
                  </w14:solidFill>
                </w14:textFill>
              </w:rPr>
              <w:t>日，完成日期20</w:t>
            </w:r>
            <w:r>
              <w:rPr>
                <w:rFonts w:hint="eastAsia" w:ascii="楷体" w:hAnsi="楷体" w:eastAsia="楷体" w:cs="楷体"/>
                <w:color w:val="000000" w:themeColor="text1"/>
                <w:sz w:val="24"/>
                <w:szCs w:val="24"/>
                <w:lang w:val="en-US" w:eastAsia="zh-CN"/>
                <w14:textFill>
                  <w14:solidFill>
                    <w14:schemeClr w14:val="tx1"/>
                  </w14:solidFill>
                </w14:textFill>
              </w:rPr>
              <w:t>21</w:t>
            </w:r>
            <w:r>
              <w:rPr>
                <w:rFonts w:hint="eastAsia" w:ascii="楷体" w:hAnsi="楷体" w:eastAsia="楷体" w:cs="楷体"/>
                <w:color w:val="000000" w:themeColor="text1"/>
                <w:sz w:val="24"/>
                <w:szCs w:val="24"/>
                <w14:textFill>
                  <w14:solidFill>
                    <w14:schemeClr w14:val="tx1"/>
                  </w14:solidFill>
                </w14:textFill>
              </w:rPr>
              <w:t>.12.30日。</w:t>
            </w:r>
          </w:p>
          <w:p>
            <w:pPr>
              <w:autoSpaceDE w:val="0"/>
              <w:autoSpaceDN w:val="0"/>
              <w:spacing w:line="360" w:lineRule="auto"/>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sz w:val="24"/>
                <w:szCs w:val="24"/>
              </w:rPr>
              <w:t>管理方案由责任部门组织实施，目前在实施中，部分已完成。</w:t>
            </w:r>
          </w:p>
        </w:tc>
        <w:tc>
          <w:tcPr>
            <w:tcW w:w="1585" w:type="dxa"/>
          </w:tcPr>
          <w:p>
            <w:pPr>
              <w:spacing w:line="360" w:lineRule="auto"/>
              <w:rPr>
                <w:rFonts w:hint="eastAsia" w:ascii="楷体" w:hAnsi="楷体" w:eastAsia="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809" w:type="dxa"/>
            <w:vAlign w:val="center"/>
          </w:tcPr>
          <w:p>
            <w:pPr>
              <w:snapToGrid w:val="0"/>
              <w:spacing w:line="360" w:lineRule="auto"/>
              <w:rPr>
                <w:rFonts w:ascii="楷体" w:hAnsi="楷体" w:eastAsia="楷体" w:cs="Times New Roman"/>
                <w:kern w:val="2"/>
                <w:sz w:val="24"/>
                <w:szCs w:val="24"/>
                <w:lang w:val="en-US" w:eastAsia="zh-CN" w:bidi="ar-SA"/>
              </w:rPr>
            </w:pPr>
            <w:r>
              <w:rPr>
                <w:rFonts w:hint="eastAsia" w:ascii="楷体" w:hAnsi="楷体" w:eastAsia="楷体" w:cs="宋体"/>
                <w:sz w:val="24"/>
                <w:szCs w:val="24"/>
              </w:rPr>
              <w:t xml:space="preserve"> </w:t>
            </w:r>
            <w:r>
              <w:rPr>
                <w:rFonts w:hint="eastAsia" w:ascii="楷体" w:hAnsi="楷体" w:eastAsia="楷体" w:cs="Arial"/>
                <w:sz w:val="24"/>
                <w:szCs w:val="24"/>
              </w:rPr>
              <w:t>环境因素</w:t>
            </w:r>
          </w:p>
        </w:tc>
        <w:tc>
          <w:tcPr>
            <w:tcW w:w="1311" w:type="dxa"/>
            <w:vAlign w:val="top"/>
          </w:tcPr>
          <w:p>
            <w:pPr>
              <w:spacing w:line="360" w:lineRule="auto"/>
              <w:rPr>
                <w:rFonts w:hint="eastAsia" w:ascii="楷体" w:hAnsi="楷体" w:eastAsia="楷体" w:cs="楷体"/>
                <w:bCs/>
                <w:sz w:val="24"/>
                <w:szCs w:val="24"/>
              </w:rPr>
            </w:pPr>
          </w:p>
          <w:p>
            <w:pPr>
              <w:spacing w:line="360" w:lineRule="auto"/>
              <w:rPr>
                <w:rFonts w:hint="eastAsia" w:ascii="楷体" w:hAnsi="楷体" w:eastAsia="楷体" w:cs="楷体"/>
                <w:bCs/>
                <w:sz w:val="24"/>
                <w:szCs w:val="24"/>
              </w:rPr>
            </w:pPr>
          </w:p>
          <w:p>
            <w:pPr>
              <w:spacing w:line="360" w:lineRule="auto"/>
              <w:rPr>
                <w:rFonts w:hint="eastAsia" w:ascii="楷体" w:hAnsi="楷体" w:eastAsia="楷体" w:cs="楷体"/>
                <w:bCs/>
                <w:sz w:val="24"/>
                <w:szCs w:val="24"/>
              </w:rPr>
            </w:pPr>
          </w:p>
          <w:p>
            <w:pPr>
              <w:spacing w:line="360" w:lineRule="auto"/>
              <w:rPr>
                <w:rFonts w:hint="eastAsia" w:ascii="楷体" w:hAnsi="楷体" w:eastAsia="楷体" w:cs="楷体"/>
                <w:bCs/>
                <w:sz w:val="24"/>
                <w:szCs w:val="24"/>
              </w:rPr>
            </w:pPr>
          </w:p>
          <w:p>
            <w:pPr>
              <w:spacing w:line="360" w:lineRule="auto"/>
              <w:rPr>
                <w:rFonts w:ascii="楷体" w:hAnsi="楷体" w:eastAsia="楷体" w:cs="楷体"/>
                <w:sz w:val="24"/>
                <w:szCs w:val="24"/>
              </w:rPr>
            </w:pPr>
            <w:r>
              <w:rPr>
                <w:rFonts w:hint="eastAsia" w:ascii="楷体" w:hAnsi="楷体" w:eastAsia="楷体" w:cs="楷体"/>
                <w:bCs/>
                <w:sz w:val="24"/>
                <w:szCs w:val="24"/>
              </w:rPr>
              <w:t>E：</w:t>
            </w:r>
            <w:r>
              <w:rPr>
                <w:rFonts w:hint="eastAsia" w:ascii="楷体" w:hAnsi="楷体" w:eastAsia="楷体" w:cs="Arial"/>
                <w:sz w:val="24"/>
                <w:szCs w:val="24"/>
              </w:rPr>
              <w:t>6.1.2</w:t>
            </w:r>
            <w:r>
              <w:rPr>
                <w:rFonts w:hint="eastAsia" w:ascii="楷体" w:hAnsi="楷体" w:eastAsia="楷体" w:cs="楷体"/>
                <w:bCs/>
                <w:sz w:val="24"/>
                <w:szCs w:val="24"/>
              </w:rPr>
              <w:t xml:space="preserve"> </w:t>
            </w:r>
          </w:p>
          <w:p>
            <w:pPr>
              <w:spacing w:line="360" w:lineRule="auto"/>
              <w:rPr>
                <w:rFonts w:hint="eastAsia" w:ascii="楷体" w:hAnsi="楷体" w:eastAsia="楷体" w:cs="楷体"/>
                <w:kern w:val="2"/>
                <w:sz w:val="24"/>
                <w:szCs w:val="24"/>
                <w:lang w:val="en-US" w:eastAsia="zh-CN" w:bidi="ar-SA"/>
              </w:rPr>
            </w:pPr>
          </w:p>
        </w:tc>
        <w:tc>
          <w:tcPr>
            <w:tcW w:w="10004" w:type="dxa"/>
            <w:vAlign w:val="top"/>
          </w:tcPr>
          <w:p>
            <w:pPr>
              <w:spacing w:line="360" w:lineRule="auto"/>
              <w:ind w:firstLine="480" w:firstLineChars="200"/>
              <w:rPr>
                <w:rFonts w:ascii="楷体" w:hAnsi="楷体" w:eastAsia="楷体" w:cs="楷体"/>
                <w:sz w:val="24"/>
                <w:szCs w:val="24"/>
              </w:rPr>
            </w:pPr>
            <w:r>
              <w:rPr>
                <w:rFonts w:hint="eastAsia" w:ascii="楷体" w:hAnsi="楷体" w:eastAsia="楷体" w:cs="楷体"/>
                <w:bCs/>
                <w:sz w:val="24"/>
                <w:szCs w:val="24"/>
                <w:lang w:eastAsia="zh-CN"/>
              </w:rPr>
              <w:t>综合部</w:t>
            </w:r>
            <w:r>
              <w:rPr>
                <w:rFonts w:hint="eastAsia" w:ascii="楷体" w:hAnsi="楷体" w:eastAsia="楷体" w:cs="楷体"/>
                <w:bCs/>
                <w:sz w:val="24"/>
                <w:szCs w:val="24"/>
              </w:rPr>
              <w:t>作为环境安全管理体系的推进</w:t>
            </w:r>
            <w:r>
              <w:rPr>
                <w:rFonts w:hint="eastAsia" w:ascii="楷体" w:hAnsi="楷体" w:eastAsia="楷体" w:cs="楷体"/>
                <w:sz w:val="24"/>
                <w:szCs w:val="24"/>
              </w:rPr>
              <w:t>部门，主要负责识别评价相关的环境因素，查有：《环境因素识别评价程序》。</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根据各部门业务及各销售过程环节识别，由</w:t>
            </w:r>
            <w:r>
              <w:rPr>
                <w:rFonts w:hint="eastAsia" w:ascii="楷体" w:hAnsi="楷体" w:eastAsia="楷体" w:cs="楷体"/>
                <w:sz w:val="24"/>
                <w:szCs w:val="24"/>
                <w:lang w:eastAsia="zh-CN"/>
              </w:rPr>
              <w:t>综合部</w:t>
            </w:r>
            <w:r>
              <w:rPr>
                <w:rFonts w:hint="eastAsia" w:ascii="楷体" w:hAnsi="楷体" w:eastAsia="楷体" w:cs="楷体"/>
                <w:sz w:val="24"/>
                <w:szCs w:val="24"/>
              </w:rPr>
              <w:t>统一汇总。</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 xml:space="preserve">提供了“环境因素汇总及评价表”，识别了体系覆盖的各过程、部门的环境因素，具体如下：如办公过程中的水电消耗、纸张消耗、墨盒废弃、硒鼓废弃等；运输过程中的汽油消耗、扬尘、尾气、噪声的排放等环境因素，但是识别不够细致、充分，现场交流。 </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 xml:space="preserve">现场提供了《重要环境因素清单》，通过评价，共识别出重要环境因素2项，分别为：火灾、固废排放。 </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w:t>
            </w:r>
            <w:r>
              <w:rPr>
                <w:rFonts w:hint="eastAsia" w:ascii="楷体" w:hAnsi="楷体" w:eastAsia="楷体" w:cs="楷体"/>
                <w:sz w:val="24"/>
                <w:szCs w:val="24"/>
                <w:lang w:eastAsia="zh-CN"/>
              </w:rPr>
              <w:t>综合部</w:t>
            </w:r>
            <w:r>
              <w:rPr>
                <w:rFonts w:hint="eastAsia" w:ascii="楷体" w:hAnsi="楷体" w:eastAsia="楷体" w:cs="楷体"/>
                <w:sz w:val="24"/>
                <w:szCs w:val="24"/>
              </w:rPr>
              <w:t>环境因素识别情况：识别了办公过程的如下环境因素：办公过程中的水电消耗、纸张使用、硒鼓废弃、火灾等。</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涉及</w:t>
            </w:r>
            <w:r>
              <w:rPr>
                <w:rFonts w:hint="eastAsia" w:ascii="楷体" w:hAnsi="楷体" w:eastAsia="楷体" w:cs="楷体"/>
                <w:sz w:val="24"/>
                <w:szCs w:val="24"/>
                <w:lang w:eastAsia="zh-CN"/>
              </w:rPr>
              <w:t>综合部</w:t>
            </w:r>
            <w:r>
              <w:rPr>
                <w:rFonts w:hint="eastAsia" w:ascii="楷体" w:hAnsi="楷体" w:eastAsia="楷体" w:cs="楷体"/>
                <w:sz w:val="24"/>
                <w:szCs w:val="24"/>
              </w:rPr>
              <w:t>的重要环境因素有2项：办公活动过程中的火灾及固废排放。</w:t>
            </w:r>
          </w:p>
          <w:p>
            <w:pPr>
              <w:tabs>
                <w:tab w:val="left" w:pos="6597"/>
              </w:tabs>
              <w:spacing w:line="360" w:lineRule="auto"/>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sz w:val="24"/>
                <w:szCs w:val="24"/>
              </w:rPr>
              <w:t>对于重要环境因素的控制，通过日常检查、目标、管理方案、运行控制、应急预案等控制方式。</w:t>
            </w:r>
          </w:p>
        </w:tc>
        <w:tc>
          <w:tcPr>
            <w:tcW w:w="1585" w:type="dxa"/>
          </w:tcPr>
          <w:p>
            <w:pPr>
              <w:spacing w:line="360" w:lineRule="auto"/>
              <w:rPr>
                <w:rFonts w:hint="eastAsia" w:ascii="楷体" w:hAnsi="楷体" w:eastAsia="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1809" w:type="dxa"/>
            <w:vAlign w:val="center"/>
          </w:tcPr>
          <w:p>
            <w:pPr>
              <w:spacing w:line="360" w:lineRule="auto"/>
              <w:rPr>
                <w:rFonts w:ascii="楷体" w:hAnsi="楷体" w:eastAsia="楷体" w:cs="Times New Roman"/>
                <w:kern w:val="2"/>
                <w:sz w:val="24"/>
                <w:szCs w:val="24"/>
                <w:lang w:val="en-US" w:eastAsia="zh-CN" w:bidi="ar-SA"/>
              </w:rPr>
            </w:pPr>
            <w:r>
              <w:rPr>
                <w:rFonts w:hint="eastAsia" w:ascii="楷体" w:hAnsi="楷体" w:eastAsia="楷体" w:cs="Arial"/>
                <w:sz w:val="24"/>
                <w:szCs w:val="24"/>
              </w:rPr>
              <w:t>合规义务</w:t>
            </w:r>
          </w:p>
        </w:tc>
        <w:tc>
          <w:tcPr>
            <w:tcW w:w="1311" w:type="dxa"/>
            <w:vAlign w:val="top"/>
          </w:tcPr>
          <w:p>
            <w:pPr>
              <w:spacing w:line="360" w:lineRule="auto"/>
              <w:rPr>
                <w:rFonts w:hint="eastAsia" w:ascii="楷体" w:hAnsi="楷体" w:eastAsia="楷体" w:cs="楷体"/>
                <w:bCs/>
                <w:sz w:val="24"/>
                <w:szCs w:val="24"/>
              </w:rPr>
            </w:pPr>
          </w:p>
          <w:p>
            <w:pPr>
              <w:spacing w:line="360" w:lineRule="auto"/>
              <w:rPr>
                <w:rFonts w:hint="eastAsia" w:ascii="楷体" w:hAnsi="楷体" w:eastAsia="楷体" w:cs="楷体"/>
                <w:bCs/>
                <w:kern w:val="2"/>
                <w:sz w:val="24"/>
                <w:szCs w:val="24"/>
                <w:lang w:val="en-US" w:eastAsia="zh-CN" w:bidi="ar-SA"/>
              </w:rPr>
            </w:pPr>
            <w:r>
              <w:rPr>
                <w:rFonts w:hint="eastAsia" w:ascii="楷体" w:hAnsi="楷体" w:eastAsia="楷体" w:cs="楷体"/>
                <w:bCs/>
                <w:sz w:val="24"/>
                <w:szCs w:val="24"/>
              </w:rPr>
              <w:t>E：</w:t>
            </w:r>
            <w:r>
              <w:rPr>
                <w:rFonts w:hint="eastAsia" w:ascii="楷体" w:hAnsi="楷体" w:eastAsia="楷体" w:cs="Arial"/>
                <w:sz w:val="24"/>
                <w:szCs w:val="24"/>
              </w:rPr>
              <w:t>6.1.3</w:t>
            </w:r>
          </w:p>
        </w:tc>
        <w:tc>
          <w:tcPr>
            <w:tcW w:w="10004" w:type="dxa"/>
            <w:vAlign w:val="center"/>
          </w:tcPr>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建立实施了《法律、法规和其他要求识别评价程序》。</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提供了《环境法律法规与其它相关要求清单》，包含22个环境法律法规、标准和其他要求。如《中华人民共和国环境保护法》、《中华人民共和国大气污染防治法》、《中华人民共和国水污染防治法》、《中华人民共和国消防法》、《中华人民共和国节约能源法》等。</w:t>
            </w:r>
          </w:p>
          <w:p>
            <w:pPr>
              <w:tabs>
                <w:tab w:val="left" w:pos="6597"/>
              </w:tabs>
              <w:spacing w:line="360" w:lineRule="auto"/>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sz w:val="24"/>
                <w:szCs w:val="24"/>
                <w:lang w:eastAsia="zh-CN"/>
              </w:rPr>
              <w:t>综合部</w:t>
            </w:r>
            <w:r>
              <w:rPr>
                <w:rFonts w:hint="eastAsia" w:ascii="楷体" w:hAnsi="楷体" w:eastAsia="楷体" w:cs="楷体"/>
                <w:sz w:val="24"/>
                <w:szCs w:val="24"/>
              </w:rPr>
              <w:t>根据需要随时网上获取、识别更新，并通过培训、宣传、会议等形式传达给员工和相关方，各部门如有需要随时到</w:t>
            </w:r>
            <w:r>
              <w:rPr>
                <w:rFonts w:hint="eastAsia" w:ascii="楷体" w:hAnsi="楷体" w:eastAsia="楷体" w:cs="楷体"/>
                <w:sz w:val="24"/>
                <w:szCs w:val="24"/>
                <w:lang w:eastAsia="zh-CN"/>
              </w:rPr>
              <w:t>综合部</w:t>
            </w:r>
            <w:r>
              <w:rPr>
                <w:rFonts w:hint="eastAsia" w:ascii="楷体" w:hAnsi="楷体" w:eastAsia="楷体" w:cs="楷体"/>
                <w:sz w:val="24"/>
                <w:szCs w:val="24"/>
              </w:rPr>
              <w:t>查阅。</w:t>
            </w:r>
          </w:p>
        </w:tc>
        <w:tc>
          <w:tcPr>
            <w:tcW w:w="1585" w:type="dxa"/>
          </w:tcPr>
          <w:p>
            <w:pPr>
              <w:spacing w:line="360" w:lineRule="auto"/>
              <w:rPr>
                <w:rFonts w:hint="eastAsia" w:ascii="楷体" w:hAnsi="楷体" w:eastAsia="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能力意识</w:t>
            </w:r>
          </w:p>
        </w:tc>
        <w:tc>
          <w:tcPr>
            <w:tcW w:w="1311" w:type="dxa"/>
          </w:tcPr>
          <w:p>
            <w:pPr>
              <w:spacing w:line="360" w:lineRule="auto"/>
              <w:rPr>
                <w:rFonts w:hint="eastAsia" w:ascii="楷体" w:hAnsi="楷体" w:eastAsia="楷体" w:cs="Arial"/>
                <w:bCs/>
                <w:sz w:val="24"/>
                <w:szCs w:val="24"/>
              </w:rPr>
            </w:pPr>
          </w:p>
          <w:p>
            <w:pPr>
              <w:spacing w:line="360" w:lineRule="auto"/>
              <w:ind w:left="480" w:hanging="480" w:hangingChars="200"/>
              <w:rPr>
                <w:rFonts w:ascii="楷体" w:hAnsi="楷体" w:eastAsia="楷体" w:cs="宋体"/>
                <w:bCs/>
                <w:sz w:val="24"/>
                <w:szCs w:val="24"/>
              </w:rPr>
            </w:pPr>
            <w:r>
              <w:rPr>
                <w:rFonts w:hint="eastAsia" w:ascii="楷体" w:hAnsi="楷体" w:eastAsia="楷体" w:cs="Arial"/>
                <w:bCs/>
                <w:sz w:val="24"/>
                <w:szCs w:val="24"/>
              </w:rPr>
              <w:t>E：7.2、     7.3</w:t>
            </w:r>
          </w:p>
          <w:p>
            <w:pPr>
              <w:spacing w:line="360" w:lineRule="auto"/>
              <w:rPr>
                <w:rFonts w:ascii="楷体" w:hAnsi="楷体" w:eastAsia="楷体" w:cs="宋体"/>
                <w:bCs/>
                <w:sz w:val="24"/>
                <w:szCs w:val="24"/>
              </w:rPr>
            </w:pPr>
          </w:p>
          <w:p>
            <w:pPr>
              <w:spacing w:line="360" w:lineRule="auto"/>
              <w:rPr>
                <w:rFonts w:ascii="楷体" w:hAnsi="楷体" w:eastAsia="楷体" w:cs="宋体"/>
                <w:bCs/>
                <w:sz w:val="24"/>
                <w:szCs w:val="24"/>
              </w:rPr>
            </w:pPr>
          </w:p>
          <w:p>
            <w:pPr>
              <w:spacing w:line="360" w:lineRule="auto"/>
              <w:rPr>
                <w:rFonts w:ascii="楷体" w:hAnsi="楷体" w:eastAsia="楷体" w:cs="宋体"/>
                <w:bCs/>
                <w:sz w:val="24"/>
                <w:szCs w:val="24"/>
              </w:rPr>
            </w:pPr>
          </w:p>
          <w:p>
            <w:pPr>
              <w:spacing w:line="360" w:lineRule="auto"/>
              <w:rPr>
                <w:rFonts w:ascii="楷体" w:hAnsi="楷体" w:eastAsia="楷体" w:cs="宋体"/>
                <w:bCs/>
                <w:sz w:val="24"/>
                <w:szCs w:val="24"/>
              </w:rPr>
            </w:pPr>
          </w:p>
          <w:p>
            <w:pPr>
              <w:spacing w:line="360" w:lineRule="auto"/>
              <w:rPr>
                <w:rFonts w:ascii="楷体" w:hAnsi="楷体" w:eastAsia="楷体" w:cs="宋体"/>
                <w:bCs/>
                <w:sz w:val="24"/>
                <w:szCs w:val="24"/>
              </w:rPr>
            </w:pPr>
          </w:p>
          <w:p>
            <w:pPr>
              <w:spacing w:line="360" w:lineRule="auto"/>
              <w:rPr>
                <w:rFonts w:ascii="楷体" w:hAnsi="楷体" w:eastAsia="楷体" w:cs="宋体"/>
                <w:bCs/>
                <w:sz w:val="24"/>
                <w:szCs w:val="24"/>
              </w:rPr>
            </w:pPr>
          </w:p>
          <w:p>
            <w:pPr>
              <w:spacing w:line="360" w:lineRule="auto"/>
              <w:rPr>
                <w:rFonts w:ascii="楷体" w:hAnsi="楷体" w:eastAsia="楷体" w:cs="宋体"/>
                <w:bCs/>
                <w:sz w:val="24"/>
                <w:szCs w:val="24"/>
              </w:rPr>
            </w:pPr>
          </w:p>
          <w:p>
            <w:pPr>
              <w:spacing w:line="360" w:lineRule="auto"/>
              <w:rPr>
                <w:rFonts w:ascii="楷体" w:hAnsi="楷体" w:eastAsia="楷体" w:cs="宋体"/>
                <w:bCs/>
                <w:sz w:val="24"/>
                <w:szCs w:val="24"/>
              </w:rPr>
            </w:pPr>
          </w:p>
          <w:p>
            <w:pPr>
              <w:spacing w:line="360" w:lineRule="auto"/>
              <w:rPr>
                <w:rFonts w:ascii="楷体" w:hAnsi="楷体" w:eastAsia="楷体" w:cs="宋体"/>
                <w:bCs/>
                <w:sz w:val="24"/>
                <w:szCs w:val="24"/>
              </w:rPr>
            </w:pPr>
          </w:p>
          <w:p>
            <w:pPr>
              <w:spacing w:line="360" w:lineRule="auto"/>
              <w:rPr>
                <w:rFonts w:ascii="楷体" w:hAnsi="楷体" w:eastAsia="楷体" w:cs="宋体"/>
                <w:bCs/>
                <w:sz w:val="24"/>
                <w:szCs w:val="24"/>
              </w:rPr>
            </w:pPr>
          </w:p>
          <w:p>
            <w:pPr>
              <w:spacing w:line="360" w:lineRule="auto"/>
              <w:rPr>
                <w:rFonts w:ascii="楷体" w:hAnsi="楷体" w:eastAsia="楷体" w:cs="宋体"/>
                <w:bCs/>
                <w:sz w:val="24"/>
                <w:szCs w:val="24"/>
              </w:rPr>
            </w:pPr>
          </w:p>
          <w:p>
            <w:pPr>
              <w:spacing w:line="360" w:lineRule="auto"/>
              <w:rPr>
                <w:rFonts w:ascii="楷体" w:hAnsi="楷体" w:eastAsia="楷体" w:cs="宋体"/>
                <w:bCs/>
                <w:sz w:val="24"/>
                <w:szCs w:val="24"/>
              </w:rPr>
            </w:pPr>
          </w:p>
          <w:p>
            <w:pPr>
              <w:spacing w:line="360" w:lineRule="auto"/>
              <w:rPr>
                <w:rFonts w:ascii="楷体" w:hAnsi="楷体" w:eastAsia="楷体" w:cs="宋体"/>
                <w:bCs/>
                <w:sz w:val="24"/>
                <w:szCs w:val="24"/>
              </w:rPr>
            </w:pPr>
          </w:p>
          <w:p>
            <w:pPr>
              <w:spacing w:line="360" w:lineRule="auto"/>
              <w:rPr>
                <w:rFonts w:ascii="楷体" w:hAnsi="楷体" w:eastAsia="楷体" w:cs="宋体"/>
                <w:sz w:val="24"/>
                <w:szCs w:val="24"/>
              </w:rPr>
            </w:pPr>
          </w:p>
        </w:tc>
        <w:tc>
          <w:tcPr>
            <w:tcW w:w="10004" w:type="dxa"/>
          </w:tcPr>
          <w:p>
            <w:pPr>
              <w:autoSpaceDE w:val="0"/>
              <w:autoSpaceDN w:val="0"/>
              <w:spacing w:line="360" w:lineRule="auto"/>
              <w:ind w:firstLine="480" w:firstLineChars="200"/>
              <w:rPr>
                <w:rFonts w:hint="eastAsia" w:ascii="楷体" w:hAnsi="楷体" w:eastAsia="楷体" w:cs="宋体"/>
                <w:sz w:val="24"/>
                <w:szCs w:val="24"/>
                <w:lang w:eastAsia="zh-CN"/>
              </w:rPr>
            </w:pPr>
            <w:r>
              <w:rPr>
                <w:rFonts w:hint="eastAsia" w:ascii="楷体" w:hAnsi="楷体" w:eastAsia="楷体" w:cs="宋体"/>
                <w:sz w:val="24"/>
                <w:szCs w:val="24"/>
                <w:lang w:val="en-US" w:eastAsia="zh-CN"/>
              </w:rPr>
              <w:t>公司制定并实施</w:t>
            </w:r>
            <w:r>
              <w:rPr>
                <w:rFonts w:hint="eastAsia" w:ascii="楷体" w:hAnsi="楷体" w:eastAsia="楷体" w:cs="宋体"/>
                <w:sz w:val="24"/>
                <w:szCs w:val="24"/>
              </w:rPr>
              <w:t>《人力资源控制程序》</w:t>
            </w:r>
            <w:r>
              <w:rPr>
                <w:rFonts w:hint="eastAsia" w:ascii="楷体" w:hAnsi="楷体" w:eastAsia="楷体" w:cs="宋体"/>
                <w:sz w:val="24"/>
                <w:szCs w:val="24"/>
                <w:lang w:eastAsia="zh-CN"/>
              </w:rPr>
              <w:t>，明确培训需求，确保可能对环境产生重大影响的岗位的人员能够胜任他所担负的工作，以满足环境管理体系所赋予的工作要求。</w:t>
            </w:r>
          </w:p>
          <w:p>
            <w:pPr>
              <w:autoSpaceDE w:val="0"/>
              <w:autoSpaceDN w:val="0"/>
              <w:spacing w:line="360" w:lineRule="auto"/>
              <w:ind w:firstLine="480" w:firstLineChars="200"/>
              <w:rPr>
                <w:rFonts w:hint="eastAsia" w:ascii="楷体" w:hAnsi="楷体" w:eastAsia="楷体" w:cs="宋体"/>
                <w:sz w:val="24"/>
                <w:szCs w:val="24"/>
                <w:lang w:val="en-US" w:eastAsia="zh-CN"/>
              </w:rPr>
            </w:pPr>
            <w:r>
              <w:rPr>
                <w:rFonts w:hint="eastAsia" w:ascii="楷体" w:hAnsi="楷体" w:eastAsia="楷体" w:cs="宋体"/>
                <w:sz w:val="24"/>
                <w:szCs w:val="24"/>
                <w:lang w:eastAsia="zh-CN"/>
              </w:rPr>
              <w:t>其中规定了公司领导层、</w:t>
            </w:r>
            <w:r>
              <w:rPr>
                <w:rFonts w:hint="eastAsia" w:ascii="楷体" w:hAnsi="楷体" w:eastAsia="楷体" w:cs="宋体"/>
                <w:sz w:val="24"/>
                <w:szCs w:val="24"/>
                <w:lang w:val="en-US" w:eastAsia="zh-CN"/>
              </w:rPr>
              <w:t>管理层</w:t>
            </w:r>
            <w:r>
              <w:rPr>
                <w:rFonts w:hint="eastAsia" w:ascii="楷体" w:hAnsi="楷体" w:eastAsia="楷体" w:cs="宋体"/>
                <w:sz w:val="24"/>
                <w:szCs w:val="24"/>
                <w:lang w:eastAsia="zh-CN"/>
              </w:rPr>
              <w:t>及管理人员、内审员、重要环境因素岗位、一般职工新员工</w:t>
            </w:r>
            <w:r>
              <w:rPr>
                <w:rFonts w:hint="eastAsia" w:ascii="楷体" w:hAnsi="楷体" w:eastAsia="楷体" w:cs="宋体"/>
                <w:sz w:val="24"/>
                <w:szCs w:val="24"/>
                <w:lang w:val="en-US" w:eastAsia="zh-CN"/>
              </w:rPr>
              <w:t>等</w:t>
            </w:r>
            <w:r>
              <w:rPr>
                <w:rFonts w:hint="eastAsia" w:ascii="楷体" w:hAnsi="楷体" w:eastAsia="楷体" w:cs="宋体"/>
                <w:sz w:val="24"/>
                <w:szCs w:val="24"/>
                <w:lang w:eastAsia="zh-CN"/>
              </w:rPr>
              <w:t>培训</w:t>
            </w:r>
            <w:r>
              <w:rPr>
                <w:rFonts w:hint="eastAsia" w:ascii="楷体" w:hAnsi="楷体" w:eastAsia="楷体" w:cs="宋体"/>
                <w:sz w:val="24"/>
                <w:szCs w:val="24"/>
                <w:lang w:val="en-US" w:eastAsia="zh-CN"/>
              </w:rPr>
              <w:t>的</w:t>
            </w:r>
            <w:r>
              <w:rPr>
                <w:rFonts w:hint="eastAsia" w:ascii="楷体" w:hAnsi="楷体" w:eastAsia="楷体" w:cs="宋体"/>
                <w:sz w:val="24"/>
                <w:szCs w:val="24"/>
                <w:lang w:eastAsia="zh-CN"/>
              </w:rPr>
              <w:t>内容</w:t>
            </w:r>
          </w:p>
          <w:p>
            <w:pPr>
              <w:autoSpaceDE w:val="0"/>
              <w:autoSpaceDN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人力资源管理的规定要求。从学历、培训、技能、经历、意识等规定了各部门负责人、业务人员、操作工、质检员等工种岗位的任职条件。</w:t>
            </w:r>
          </w:p>
          <w:p>
            <w:pPr>
              <w:autoSpaceDE w:val="0"/>
              <w:autoSpaceDN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在审核中关注到组织</w:t>
            </w:r>
            <w:r>
              <w:rPr>
                <w:rFonts w:hint="eastAsia" w:ascii="楷体" w:hAnsi="楷体" w:eastAsia="楷体" w:cs="宋体"/>
                <w:sz w:val="24"/>
                <w:szCs w:val="24"/>
                <w:lang w:val="en-US" w:eastAsia="zh-CN"/>
              </w:rPr>
              <w:t>人员未明确从事</w:t>
            </w:r>
            <w:r>
              <w:rPr>
                <w:rFonts w:hint="eastAsia" w:ascii="楷体" w:hAnsi="楷体" w:eastAsia="楷体" w:cs="宋体"/>
                <w:sz w:val="24"/>
                <w:szCs w:val="24"/>
              </w:rPr>
              <w:t>环境方面岗位任职资格</w:t>
            </w:r>
            <w:r>
              <w:rPr>
                <w:rFonts w:hint="eastAsia" w:ascii="楷体" w:hAnsi="楷体" w:eastAsia="楷体" w:cs="宋体"/>
                <w:sz w:val="24"/>
                <w:szCs w:val="24"/>
                <w:lang w:eastAsia="zh-CN"/>
              </w:rPr>
              <w:t>、</w:t>
            </w:r>
            <w:r>
              <w:rPr>
                <w:rFonts w:hint="eastAsia" w:ascii="楷体" w:hAnsi="楷体" w:eastAsia="楷体" w:cs="宋体"/>
                <w:sz w:val="24"/>
                <w:szCs w:val="24"/>
              </w:rPr>
              <w:t>学历、培训、技能、经历、意识要求，已沟通改进。</w:t>
            </w:r>
          </w:p>
          <w:p>
            <w:pPr>
              <w:autoSpaceDE w:val="0"/>
              <w:autoSpaceDN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提供的《20</w:t>
            </w:r>
            <w:r>
              <w:rPr>
                <w:rFonts w:hint="eastAsia" w:ascii="楷体" w:hAnsi="楷体" w:eastAsia="楷体" w:cs="宋体"/>
                <w:sz w:val="24"/>
                <w:szCs w:val="24"/>
                <w:lang w:val="en-US" w:eastAsia="zh-CN"/>
              </w:rPr>
              <w:t>21</w:t>
            </w:r>
            <w:r>
              <w:rPr>
                <w:rFonts w:hint="eastAsia" w:ascii="楷体" w:hAnsi="楷体" w:eastAsia="楷体" w:cs="宋体"/>
                <w:sz w:val="24"/>
                <w:szCs w:val="24"/>
              </w:rPr>
              <w:t>年度培训计划》，从培训项目、方式、培训对象、时间、责任部门、考核方式等方面予以策划，内容包含体系标准、方针目标管理手册程序文件、职责权限及专业技术、适用法律法规、消防培训培训等内容。</w:t>
            </w:r>
          </w:p>
          <w:p>
            <w:pPr>
              <w:tabs>
                <w:tab w:val="left" w:pos="6597"/>
              </w:tabs>
              <w:spacing w:line="360" w:lineRule="auto"/>
              <w:ind w:firstLine="408"/>
              <w:rPr>
                <w:rFonts w:ascii="楷体" w:hAnsi="楷体" w:eastAsia="楷体"/>
                <w:sz w:val="24"/>
                <w:szCs w:val="24"/>
              </w:rPr>
            </w:pPr>
            <w:r>
              <w:rPr>
                <w:rFonts w:hint="eastAsia" w:ascii="楷体" w:hAnsi="楷体" w:eastAsia="楷体"/>
                <w:sz w:val="24"/>
                <w:szCs w:val="24"/>
              </w:rPr>
              <w:t>抽1）20</w:t>
            </w:r>
            <w:r>
              <w:rPr>
                <w:rFonts w:hint="eastAsia" w:ascii="楷体" w:hAnsi="楷体" w:eastAsia="楷体"/>
                <w:sz w:val="24"/>
                <w:szCs w:val="24"/>
                <w:lang w:val="en-US" w:eastAsia="zh-CN"/>
              </w:rPr>
              <w:t>21</w:t>
            </w:r>
            <w:r>
              <w:rPr>
                <w:rFonts w:hint="eastAsia" w:ascii="楷体" w:hAnsi="楷体" w:eastAsia="楷体"/>
                <w:sz w:val="24"/>
                <w:szCs w:val="24"/>
              </w:rPr>
              <w:t>年3月</w:t>
            </w:r>
            <w:r>
              <w:rPr>
                <w:rFonts w:hint="eastAsia" w:ascii="楷体" w:hAnsi="楷体" w:eastAsia="楷体"/>
                <w:sz w:val="24"/>
                <w:szCs w:val="24"/>
                <w:lang w:val="en-US" w:eastAsia="zh-CN"/>
              </w:rPr>
              <w:t>10</w:t>
            </w:r>
            <w:r>
              <w:rPr>
                <w:rFonts w:hint="eastAsia" w:ascii="楷体" w:hAnsi="楷体" w:eastAsia="楷体"/>
                <w:sz w:val="24"/>
                <w:szCs w:val="24"/>
              </w:rPr>
              <w:t>日《培训记录表》，培训内容</w:t>
            </w:r>
            <w:r>
              <w:rPr>
                <w:rFonts w:hint="eastAsia" w:ascii="楷体" w:hAnsi="楷体" w:eastAsia="楷体"/>
                <w:sz w:val="24"/>
                <w:szCs w:val="24"/>
                <w:lang w:eastAsia="zh-CN"/>
              </w:rPr>
              <w:t>：</w:t>
            </w:r>
            <w:r>
              <w:rPr>
                <w:rFonts w:hint="eastAsia" w:ascii="楷体" w:hAnsi="楷体" w:eastAsia="楷体"/>
                <w:sz w:val="24"/>
                <w:szCs w:val="24"/>
              </w:rPr>
              <w:t>公司重要环境因素和危险源及控制</w:t>
            </w:r>
            <w:r>
              <w:rPr>
                <w:rFonts w:hint="eastAsia" w:ascii="楷体" w:hAnsi="楷体" w:eastAsia="楷体"/>
                <w:sz w:val="24"/>
                <w:szCs w:val="24"/>
                <w:lang w:val="en-US" w:eastAsia="zh-CN"/>
              </w:rPr>
              <w:t>及国家相应的法规</w:t>
            </w:r>
            <w:r>
              <w:rPr>
                <w:rFonts w:hint="eastAsia" w:ascii="楷体" w:hAnsi="楷体" w:eastAsia="楷体"/>
                <w:sz w:val="24"/>
                <w:szCs w:val="24"/>
              </w:rPr>
              <w:t>，还包括了教育内容、场所、讲师、参加人员名单、评价结果等内容，效果评价：</w:t>
            </w:r>
            <w:r>
              <w:rPr>
                <w:rFonts w:hint="eastAsia" w:ascii="楷体" w:hAnsi="楷体" w:eastAsia="楷体" w:cs="宋体"/>
                <w:sz w:val="24"/>
                <w:szCs w:val="24"/>
              </w:rPr>
              <w:t>经过现场提问，参加培训人员合格，均掌握了培训内容</w:t>
            </w:r>
            <w:r>
              <w:rPr>
                <w:rFonts w:hint="eastAsia" w:ascii="楷体" w:hAnsi="楷体" w:eastAsia="楷体"/>
                <w:sz w:val="24"/>
                <w:szCs w:val="24"/>
              </w:rPr>
              <w:t>。</w:t>
            </w:r>
          </w:p>
          <w:p>
            <w:pPr>
              <w:tabs>
                <w:tab w:val="left" w:pos="6597"/>
              </w:tabs>
              <w:spacing w:line="360" w:lineRule="auto"/>
              <w:ind w:firstLine="408"/>
              <w:rPr>
                <w:rFonts w:ascii="楷体" w:hAnsi="楷体" w:eastAsia="楷体"/>
                <w:sz w:val="24"/>
                <w:szCs w:val="24"/>
              </w:rPr>
            </w:pPr>
            <w:r>
              <w:rPr>
                <w:rFonts w:hint="eastAsia" w:ascii="楷体" w:hAnsi="楷体" w:eastAsia="楷体"/>
                <w:sz w:val="24"/>
                <w:szCs w:val="24"/>
                <w:lang w:val="en-US" w:eastAsia="zh-CN"/>
              </w:rPr>
              <w:t>抽</w:t>
            </w:r>
            <w:r>
              <w:rPr>
                <w:rFonts w:hint="eastAsia" w:ascii="楷体" w:hAnsi="楷体" w:eastAsia="楷体"/>
                <w:sz w:val="24"/>
                <w:szCs w:val="24"/>
              </w:rPr>
              <w:t>2）20</w:t>
            </w:r>
            <w:r>
              <w:rPr>
                <w:rFonts w:hint="eastAsia" w:ascii="楷体" w:hAnsi="楷体" w:eastAsia="楷体"/>
                <w:sz w:val="24"/>
                <w:szCs w:val="24"/>
                <w:lang w:val="en-US" w:eastAsia="zh-CN"/>
              </w:rPr>
              <w:t>21</w:t>
            </w:r>
            <w:r>
              <w:rPr>
                <w:rFonts w:hint="eastAsia" w:ascii="楷体" w:hAnsi="楷体" w:eastAsia="楷体"/>
                <w:sz w:val="24"/>
                <w:szCs w:val="24"/>
              </w:rPr>
              <w:t>年</w:t>
            </w:r>
            <w:r>
              <w:rPr>
                <w:rFonts w:hint="eastAsia" w:ascii="楷体" w:hAnsi="楷体" w:eastAsia="楷体"/>
                <w:sz w:val="24"/>
                <w:szCs w:val="24"/>
                <w:lang w:val="en-US" w:eastAsia="zh-CN"/>
              </w:rPr>
              <w:t>4</w:t>
            </w:r>
            <w:r>
              <w:rPr>
                <w:rFonts w:hint="eastAsia" w:ascii="楷体" w:hAnsi="楷体" w:eastAsia="楷体"/>
                <w:sz w:val="24"/>
                <w:szCs w:val="24"/>
              </w:rPr>
              <w:t>月5 日培训：</w:t>
            </w:r>
            <w:r>
              <w:rPr>
                <w:rFonts w:hint="eastAsia" w:ascii="楷体" w:hAnsi="楷体" w:eastAsia="楷体"/>
                <w:sz w:val="24"/>
                <w:szCs w:val="24"/>
                <w:lang w:val="en-US" w:eastAsia="zh-CN"/>
              </w:rPr>
              <w:t>垃圾分类、</w:t>
            </w:r>
            <w:r>
              <w:rPr>
                <w:rFonts w:hint="eastAsia" w:ascii="楷体" w:hAnsi="楷体" w:eastAsia="楷体"/>
                <w:sz w:val="24"/>
                <w:szCs w:val="24"/>
              </w:rPr>
              <w:t>固废管理及处置</w:t>
            </w:r>
            <w:r>
              <w:rPr>
                <w:rFonts w:hint="eastAsia" w:ascii="楷体" w:hAnsi="楷体" w:eastAsia="楷体"/>
                <w:sz w:val="24"/>
                <w:szCs w:val="24"/>
                <w:lang w:eastAsia="zh-CN"/>
              </w:rPr>
              <w:t>、</w:t>
            </w:r>
            <w:r>
              <w:rPr>
                <w:rFonts w:hint="eastAsia" w:ascii="楷体" w:hAnsi="楷体" w:eastAsia="楷体"/>
                <w:sz w:val="24"/>
                <w:szCs w:val="24"/>
                <w:lang w:val="en-US" w:eastAsia="zh-CN"/>
              </w:rPr>
              <w:t>疫情防护及管理制度</w:t>
            </w:r>
            <w:r>
              <w:rPr>
                <w:rFonts w:hint="eastAsia" w:ascii="楷体" w:hAnsi="楷体" w:eastAsia="楷体"/>
                <w:sz w:val="24"/>
                <w:szCs w:val="24"/>
              </w:rPr>
              <w:t>等</w:t>
            </w:r>
            <w:r>
              <w:rPr>
                <w:rFonts w:hint="eastAsia" w:ascii="楷体" w:hAnsi="楷体" w:eastAsia="楷体"/>
                <w:sz w:val="24"/>
                <w:szCs w:val="24"/>
                <w:lang w:val="en-US" w:eastAsia="zh-CN"/>
              </w:rPr>
              <w:t>3</w:t>
            </w:r>
            <w:r>
              <w:rPr>
                <w:rFonts w:hint="eastAsia" w:ascii="楷体" w:hAnsi="楷体" w:eastAsia="楷体"/>
                <w:sz w:val="24"/>
                <w:szCs w:val="24"/>
              </w:rPr>
              <w:t>份《培训记录》包括的内容同上，培训有效。</w:t>
            </w:r>
          </w:p>
          <w:p>
            <w:pPr>
              <w:tabs>
                <w:tab w:val="left" w:pos="6597"/>
              </w:tabs>
              <w:spacing w:line="360" w:lineRule="auto"/>
              <w:ind w:firstLine="408"/>
              <w:rPr>
                <w:rFonts w:hint="eastAsia" w:ascii="楷体" w:hAnsi="楷体" w:eastAsia="楷体"/>
                <w:sz w:val="24"/>
                <w:szCs w:val="24"/>
              </w:rPr>
            </w:pPr>
            <w:r>
              <w:rPr>
                <w:rFonts w:hint="eastAsia" w:ascii="楷体" w:hAnsi="楷体" w:eastAsia="楷体"/>
                <w:sz w:val="24"/>
                <w:szCs w:val="24"/>
                <w:lang w:val="en-US" w:eastAsia="zh-CN"/>
              </w:rPr>
              <w:t>抽3）</w:t>
            </w:r>
            <w:r>
              <w:rPr>
                <w:rFonts w:hint="eastAsia" w:ascii="楷体" w:hAnsi="楷体" w:eastAsia="楷体"/>
                <w:sz w:val="24"/>
                <w:szCs w:val="24"/>
              </w:rPr>
              <w:t>20</w:t>
            </w:r>
            <w:r>
              <w:rPr>
                <w:rFonts w:hint="eastAsia" w:ascii="楷体" w:hAnsi="楷体" w:eastAsia="楷体"/>
                <w:sz w:val="24"/>
                <w:szCs w:val="24"/>
                <w:lang w:val="en-US" w:eastAsia="zh-CN"/>
              </w:rPr>
              <w:t>21</w:t>
            </w:r>
            <w:r>
              <w:rPr>
                <w:rFonts w:hint="eastAsia" w:ascii="楷体" w:hAnsi="楷体" w:eastAsia="楷体"/>
                <w:sz w:val="24"/>
                <w:szCs w:val="24"/>
              </w:rPr>
              <w:t>年</w:t>
            </w:r>
            <w:r>
              <w:rPr>
                <w:rFonts w:hint="eastAsia" w:ascii="楷体" w:hAnsi="楷体" w:eastAsia="楷体"/>
                <w:sz w:val="24"/>
                <w:szCs w:val="24"/>
                <w:lang w:val="en-US" w:eastAsia="zh-CN"/>
              </w:rPr>
              <w:t>6</w:t>
            </w:r>
            <w:r>
              <w:rPr>
                <w:rFonts w:hint="eastAsia" w:ascii="楷体" w:hAnsi="楷体" w:eastAsia="楷体"/>
                <w:sz w:val="24"/>
                <w:szCs w:val="24"/>
              </w:rPr>
              <w:t>月</w:t>
            </w:r>
            <w:r>
              <w:rPr>
                <w:rFonts w:hint="eastAsia" w:ascii="楷体" w:hAnsi="楷体" w:eastAsia="楷体"/>
                <w:sz w:val="24"/>
                <w:szCs w:val="24"/>
                <w:lang w:val="en-US" w:eastAsia="zh-CN"/>
              </w:rPr>
              <w:t>25</w:t>
            </w:r>
            <w:r>
              <w:rPr>
                <w:rFonts w:hint="eastAsia" w:ascii="楷体" w:hAnsi="楷体" w:eastAsia="楷体"/>
                <w:sz w:val="24"/>
                <w:szCs w:val="24"/>
              </w:rPr>
              <w:t>日《培训记录》，培训内容：应急预案</w:t>
            </w:r>
            <w:r>
              <w:rPr>
                <w:rFonts w:hint="eastAsia" w:ascii="楷体" w:hAnsi="楷体" w:eastAsia="楷体"/>
                <w:sz w:val="24"/>
                <w:szCs w:val="24"/>
                <w:lang w:val="en-US" w:eastAsia="zh-CN"/>
              </w:rPr>
              <w:t>及消防演练</w:t>
            </w:r>
            <w:r>
              <w:rPr>
                <w:rFonts w:hint="eastAsia" w:ascii="楷体" w:hAnsi="楷体" w:eastAsia="楷体"/>
                <w:sz w:val="24"/>
                <w:szCs w:val="24"/>
              </w:rPr>
              <w:t>等培训，培训有效。；</w:t>
            </w:r>
          </w:p>
          <w:p>
            <w:pPr>
              <w:tabs>
                <w:tab w:val="left" w:pos="1410"/>
              </w:tabs>
              <w:autoSpaceDE w:val="0"/>
              <w:autoSpaceDN w:val="0"/>
              <w:spacing w:line="360" w:lineRule="auto"/>
              <w:ind w:firstLine="480" w:firstLineChars="200"/>
              <w:rPr>
                <w:rFonts w:ascii="楷体" w:hAnsi="楷体" w:eastAsia="楷体"/>
                <w:sz w:val="24"/>
                <w:szCs w:val="24"/>
              </w:rPr>
            </w:pPr>
            <w:r>
              <w:rPr>
                <w:rFonts w:hint="eastAsia" w:ascii="楷体" w:hAnsi="楷体" w:eastAsia="楷体"/>
                <w:sz w:val="24"/>
                <w:szCs w:val="24"/>
              </w:rPr>
              <w:t>无</w:t>
            </w:r>
            <w:r>
              <w:rPr>
                <w:rFonts w:ascii="楷体" w:hAnsi="楷体" w:eastAsia="楷体"/>
                <w:sz w:val="24"/>
                <w:szCs w:val="24"/>
              </w:rPr>
              <w:t>特种作业人员</w:t>
            </w:r>
            <w:r>
              <w:rPr>
                <w:rFonts w:hint="eastAsia" w:ascii="楷体" w:hAnsi="楷体" w:eastAsia="楷体"/>
                <w:sz w:val="24"/>
                <w:szCs w:val="24"/>
              </w:rPr>
              <w:t>。</w:t>
            </w:r>
          </w:p>
          <w:p>
            <w:pPr>
              <w:tabs>
                <w:tab w:val="left" w:pos="1410"/>
              </w:tabs>
              <w:autoSpaceDE w:val="0"/>
              <w:autoSpaceDN w:val="0"/>
              <w:spacing w:line="360" w:lineRule="auto"/>
              <w:ind w:firstLine="480" w:firstLineChars="200"/>
              <w:rPr>
                <w:rFonts w:ascii="楷体" w:hAnsi="楷体" w:eastAsia="楷体" w:cs="宋体"/>
                <w:sz w:val="24"/>
                <w:szCs w:val="24"/>
              </w:rPr>
            </w:pPr>
            <w:r>
              <w:rPr>
                <w:rFonts w:hint="eastAsia" w:ascii="楷体" w:hAnsi="楷体" w:eastAsia="楷体"/>
                <w:sz w:val="24"/>
                <w:szCs w:val="24"/>
                <w:lang w:val="en-US" w:eastAsia="zh-CN"/>
              </w:rPr>
              <w:t>王红</w:t>
            </w:r>
            <w:r>
              <w:rPr>
                <w:rFonts w:hint="eastAsia" w:ascii="楷体" w:hAnsi="楷体" w:eastAsia="楷体" w:cs="宋体"/>
                <w:sz w:val="24"/>
                <w:szCs w:val="24"/>
              </w:rPr>
              <w:t>介绍</w:t>
            </w:r>
            <w:r>
              <w:rPr>
                <w:rFonts w:hint="eastAsia" w:ascii="楷体" w:hAnsi="楷体" w:eastAsia="楷体" w:cs="宋体"/>
                <w:sz w:val="24"/>
                <w:szCs w:val="24"/>
                <w:lang w:val="en-US" w:eastAsia="zh-CN"/>
              </w:rPr>
              <w:t>了</w:t>
            </w:r>
            <w:r>
              <w:rPr>
                <w:rFonts w:hint="eastAsia" w:ascii="楷体" w:hAnsi="楷体" w:eastAsia="楷体" w:cs="宋体"/>
                <w:sz w:val="24"/>
                <w:szCs w:val="24"/>
              </w:rPr>
              <w:t>通过培训、面谈</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会议</w:t>
            </w:r>
            <w:r>
              <w:rPr>
                <w:rFonts w:hint="eastAsia" w:ascii="楷体" w:hAnsi="楷体" w:eastAsia="楷体" w:cs="宋体"/>
                <w:sz w:val="24"/>
                <w:szCs w:val="24"/>
              </w:rPr>
              <w:t>等沟通方式，</w:t>
            </w:r>
            <w:r>
              <w:rPr>
                <w:rFonts w:hint="eastAsia" w:ascii="楷体" w:hAnsi="楷体" w:eastAsia="楷体" w:cs="宋体"/>
                <w:sz w:val="24"/>
                <w:szCs w:val="24"/>
                <w:lang w:val="en-US" w:eastAsia="zh-CN"/>
              </w:rPr>
              <w:t>提高员工的环保意识和</w:t>
            </w:r>
            <w:r>
              <w:rPr>
                <w:rFonts w:hint="eastAsia" w:ascii="楷体" w:hAnsi="楷体" w:eastAsia="楷体" w:cs="宋体"/>
                <w:sz w:val="24"/>
                <w:szCs w:val="24"/>
              </w:rPr>
              <w:t>素质</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确保员工得到</w:t>
            </w:r>
            <w:r>
              <w:rPr>
                <w:rFonts w:hint="eastAsia" w:ascii="楷体" w:hAnsi="楷体" w:eastAsia="楷体" w:cs="宋体"/>
                <w:sz w:val="24"/>
                <w:szCs w:val="24"/>
              </w:rPr>
              <w:t>相应培训，</w:t>
            </w:r>
            <w:r>
              <w:rPr>
                <w:rFonts w:hint="eastAsia" w:ascii="楷体" w:hAnsi="楷体" w:eastAsia="楷体" w:cs="宋体"/>
                <w:sz w:val="24"/>
                <w:szCs w:val="24"/>
                <w:lang w:val="en-US" w:eastAsia="zh-CN"/>
              </w:rPr>
              <w:t>人员</w:t>
            </w:r>
            <w:r>
              <w:rPr>
                <w:rFonts w:hint="eastAsia" w:ascii="楷体" w:hAnsi="楷体" w:eastAsia="楷体" w:cs="宋体"/>
                <w:sz w:val="24"/>
                <w:szCs w:val="24"/>
              </w:rPr>
              <w:t>未发生调岗人员的情况。</w:t>
            </w:r>
          </w:p>
          <w:p>
            <w:pPr>
              <w:tabs>
                <w:tab w:val="left" w:pos="1410"/>
              </w:tabs>
              <w:autoSpaceDE w:val="0"/>
              <w:autoSpaceDN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企业已对人力资源的管理、控制进行了策划，并已实施控制，针对体系文件的系统学习进行了交流。</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形成文件的信息</w:t>
            </w:r>
          </w:p>
        </w:tc>
        <w:tc>
          <w:tcPr>
            <w:tcW w:w="1311" w:type="dxa"/>
          </w:tcPr>
          <w:p>
            <w:pPr>
              <w:snapToGrid w:val="0"/>
              <w:spacing w:line="360" w:lineRule="auto"/>
              <w:rPr>
                <w:rFonts w:hint="eastAsia" w:ascii="楷体" w:hAnsi="楷体" w:eastAsia="楷体" w:cs="宋体"/>
                <w:sz w:val="24"/>
                <w:szCs w:val="24"/>
              </w:rPr>
            </w:pPr>
          </w:p>
          <w:p>
            <w:pPr>
              <w:snapToGrid w:val="0"/>
              <w:spacing w:line="360" w:lineRule="auto"/>
              <w:rPr>
                <w:rFonts w:hint="eastAsia" w:ascii="楷体" w:hAnsi="楷体" w:eastAsia="楷体" w:cs="宋体"/>
                <w:sz w:val="24"/>
                <w:szCs w:val="24"/>
              </w:rPr>
            </w:pPr>
          </w:p>
          <w:p>
            <w:pPr>
              <w:snapToGrid w:val="0"/>
              <w:spacing w:line="360" w:lineRule="auto"/>
              <w:rPr>
                <w:rFonts w:hint="eastAsia" w:ascii="楷体" w:hAnsi="楷体" w:eastAsia="楷体" w:cs="宋体"/>
                <w:sz w:val="24"/>
                <w:szCs w:val="24"/>
              </w:rPr>
            </w:pPr>
          </w:p>
          <w:p>
            <w:pPr>
              <w:snapToGrid w:val="0"/>
              <w:spacing w:line="360" w:lineRule="auto"/>
              <w:rPr>
                <w:rFonts w:hint="eastAsia" w:ascii="楷体" w:hAnsi="楷体" w:eastAsia="楷体" w:cs="宋体"/>
                <w:sz w:val="24"/>
                <w:szCs w:val="24"/>
              </w:rPr>
            </w:pPr>
          </w:p>
          <w:p>
            <w:pPr>
              <w:snapToGrid w:val="0"/>
              <w:spacing w:line="360" w:lineRule="auto"/>
              <w:rPr>
                <w:rFonts w:ascii="楷体" w:hAnsi="楷体" w:eastAsia="楷体" w:cs="宋体"/>
                <w:sz w:val="24"/>
                <w:szCs w:val="24"/>
              </w:rPr>
            </w:pPr>
            <w:r>
              <w:rPr>
                <w:rFonts w:hint="eastAsia" w:ascii="楷体" w:hAnsi="楷体" w:eastAsia="楷体" w:cs="宋体"/>
                <w:sz w:val="24"/>
                <w:szCs w:val="24"/>
              </w:rPr>
              <w:t>E 7.5</w:t>
            </w:r>
          </w:p>
          <w:p>
            <w:pPr>
              <w:snapToGrid w:val="0"/>
              <w:spacing w:line="360" w:lineRule="auto"/>
              <w:ind w:firstLine="240" w:firstLineChars="100"/>
              <w:rPr>
                <w:rFonts w:ascii="楷体" w:hAnsi="楷体" w:eastAsia="楷体" w:cs="Arial Unicode MS"/>
                <w:sz w:val="24"/>
                <w:szCs w:val="24"/>
              </w:rPr>
            </w:pPr>
          </w:p>
        </w:tc>
        <w:tc>
          <w:tcPr>
            <w:tcW w:w="10004" w:type="dxa"/>
          </w:tcPr>
          <w:p>
            <w:pPr>
              <w:snapToGrid w:val="0"/>
              <w:spacing w:line="360" w:lineRule="auto"/>
              <w:rPr>
                <w:rFonts w:hint="eastAsia" w:ascii="楷体" w:hAnsi="楷体" w:eastAsia="楷体"/>
                <w:sz w:val="24"/>
                <w:szCs w:val="24"/>
              </w:rPr>
            </w:pPr>
            <w:r>
              <w:rPr>
                <w:rFonts w:hint="eastAsia" w:ascii="楷体" w:hAnsi="楷体" w:eastAsia="楷体"/>
                <w:sz w:val="24"/>
                <w:szCs w:val="24"/>
                <w:lang w:val="en-US" w:eastAsia="zh-CN"/>
              </w:rPr>
              <w:t>查，</w:t>
            </w:r>
            <w:r>
              <w:rPr>
                <w:rFonts w:hint="eastAsia" w:ascii="楷体" w:hAnsi="楷体" w:eastAsia="楷体" w:cs="Arial"/>
                <w:bCs/>
                <w:sz w:val="24"/>
                <w:szCs w:val="24"/>
                <w:lang w:val="en-US" w:eastAsia="zh-CN"/>
              </w:rPr>
              <w:t>提供的JM/EM01-A0《环境管理手册》、《环境管理体系程序文件》、《环境管理制度》</w:t>
            </w:r>
            <w:r>
              <w:rPr>
                <w:rFonts w:hint="eastAsia" w:ascii="楷体" w:hAnsi="楷体" w:eastAsia="楷体"/>
                <w:sz w:val="24"/>
                <w:szCs w:val="24"/>
              </w:rPr>
              <w:t>依据GB/T24001-2016/IS014001:2015标准</w:t>
            </w:r>
            <w:r>
              <w:rPr>
                <w:rFonts w:hint="eastAsia" w:ascii="楷体" w:hAnsi="楷体" w:eastAsia="楷体"/>
                <w:sz w:val="24"/>
                <w:szCs w:val="24"/>
                <w:lang w:val="en-US" w:eastAsia="zh-CN"/>
              </w:rPr>
              <w:t>编制</w:t>
            </w:r>
            <w:r>
              <w:rPr>
                <w:rFonts w:hint="eastAsia" w:ascii="楷体" w:hAnsi="楷体" w:eastAsia="楷体"/>
                <w:sz w:val="24"/>
                <w:szCs w:val="24"/>
              </w:rPr>
              <w:t>。2019.2.1发布，2019.2.1实施；手册从发布实施以来</w:t>
            </w:r>
            <w:r>
              <w:rPr>
                <w:rFonts w:hint="eastAsia" w:ascii="楷体" w:hAnsi="楷体" w:eastAsia="楷体"/>
                <w:sz w:val="24"/>
                <w:szCs w:val="24"/>
                <w:lang w:val="en-US" w:eastAsia="zh-CN"/>
              </w:rPr>
              <w:t>未有更改</w:t>
            </w:r>
            <w:r>
              <w:rPr>
                <w:rFonts w:hint="eastAsia" w:ascii="楷体" w:hAnsi="楷体" w:eastAsia="楷体"/>
                <w:sz w:val="24"/>
                <w:szCs w:val="24"/>
              </w:rPr>
              <w:t>。</w:t>
            </w:r>
          </w:p>
          <w:p>
            <w:pPr>
              <w:snapToGrid w:val="0"/>
              <w:spacing w:line="360" w:lineRule="auto"/>
              <w:rPr>
                <w:rFonts w:hint="eastAsia" w:ascii="楷体" w:hAnsi="楷体" w:eastAsia="楷体"/>
                <w:sz w:val="24"/>
                <w:szCs w:val="24"/>
              </w:rPr>
            </w:pPr>
            <w:r>
              <w:rPr>
                <w:rFonts w:hint="eastAsia" w:ascii="楷体" w:hAnsi="楷体" w:eastAsia="楷体"/>
                <w:sz w:val="24"/>
                <w:szCs w:val="24"/>
              </w:rPr>
              <w:t xml:space="preserve">提供了《文件发放记录》，记录了以上有关体系文件的发放情况。 </w:t>
            </w:r>
          </w:p>
          <w:p>
            <w:pPr>
              <w:snapToGrid w:val="0"/>
              <w:spacing w:line="360" w:lineRule="auto"/>
              <w:rPr>
                <w:rFonts w:hint="eastAsia" w:ascii="楷体" w:hAnsi="楷体" w:eastAsia="楷体"/>
                <w:sz w:val="24"/>
                <w:szCs w:val="24"/>
              </w:rPr>
            </w:pPr>
            <w:r>
              <w:rPr>
                <w:rFonts w:hint="eastAsia" w:ascii="楷体" w:hAnsi="楷体" w:eastAsia="楷体"/>
                <w:sz w:val="24"/>
                <w:szCs w:val="24"/>
              </w:rPr>
              <w:t>提供了《法律法规清单》列入了相关机械加工销售相关的环境法规外来文件，并对以上进行识别、收集。</w:t>
            </w:r>
          </w:p>
          <w:p>
            <w:pPr>
              <w:snapToGrid w:val="0"/>
              <w:spacing w:line="360" w:lineRule="auto"/>
              <w:rPr>
                <w:rFonts w:ascii="楷体" w:hAnsi="楷体" w:eastAsia="楷体"/>
                <w:sz w:val="24"/>
                <w:szCs w:val="24"/>
              </w:rPr>
            </w:pPr>
            <w:r>
              <w:rPr>
                <w:rFonts w:hint="eastAsia" w:ascii="楷体" w:hAnsi="楷体" w:eastAsia="楷体"/>
                <w:sz w:val="24"/>
                <w:szCs w:val="24"/>
              </w:rPr>
              <w:t>由</w:t>
            </w:r>
            <w:r>
              <w:rPr>
                <w:rFonts w:hint="eastAsia" w:ascii="楷体" w:hAnsi="楷体" w:eastAsia="楷体"/>
                <w:sz w:val="24"/>
                <w:szCs w:val="24"/>
                <w:lang w:val="en-US" w:eastAsia="zh-CN"/>
              </w:rPr>
              <w:t>综合部</w:t>
            </w:r>
            <w:r>
              <w:rPr>
                <w:rFonts w:hint="eastAsia" w:ascii="楷体" w:hAnsi="楷体" w:eastAsia="楷体"/>
                <w:sz w:val="24"/>
                <w:szCs w:val="24"/>
              </w:rPr>
              <w:t>负责通过到主管部门、网上收集、标准发布部门进行购买，并对外来文件的识别、跟踪、控制。</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hint="eastAsia" w:ascii="楷体" w:hAnsi="楷体" w:eastAsia="楷体" w:cs="Times New Roman"/>
                <w:kern w:val="2"/>
                <w:sz w:val="24"/>
                <w:szCs w:val="24"/>
                <w:lang w:val="en-US" w:eastAsia="zh-CN" w:bidi="ar-SA"/>
              </w:rPr>
            </w:pPr>
            <w:r>
              <w:rPr>
                <w:rFonts w:hint="eastAsia" w:ascii="楷体" w:hAnsi="楷体" w:eastAsia="楷体" w:cs="Arial"/>
                <w:sz w:val="24"/>
                <w:szCs w:val="24"/>
              </w:rPr>
              <w:t>运行策划和控制、</w:t>
            </w:r>
          </w:p>
        </w:tc>
        <w:tc>
          <w:tcPr>
            <w:tcW w:w="1311" w:type="dxa"/>
            <w:vAlign w:val="center"/>
          </w:tcPr>
          <w:p>
            <w:pPr>
              <w:spacing w:line="360" w:lineRule="auto"/>
              <w:rPr>
                <w:rFonts w:ascii="楷体" w:hAnsi="楷体" w:eastAsia="楷体" w:cs="楷体"/>
                <w:kern w:val="2"/>
                <w:sz w:val="24"/>
                <w:szCs w:val="24"/>
                <w:lang w:val="en-US" w:eastAsia="zh-CN" w:bidi="ar-SA"/>
              </w:rPr>
            </w:pPr>
            <w:r>
              <w:rPr>
                <w:rFonts w:hint="eastAsia" w:ascii="楷体" w:hAnsi="楷体" w:eastAsia="楷体" w:cs="楷体"/>
                <w:bCs/>
                <w:sz w:val="24"/>
                <w:szCs w:val="24"/>
              </w:rPr>
              <w:t>E</w:t>
            </w:r>
            <w:r>
              <w:rPr>
                <w:rFonts w:hint="eastAsia" w:ascii="楷体" w:hAnsi="楷体" w:eastAsia="楷体" w:cs="Arial"/>
                <w:sz w:val="24"/>
                <w:szCs w:val="24"/>
              </w:rPr>
              <w:t>8.1</w:t>
            </w:r>
            <w:r>
              <w:rPr>
                <w:rFonts w:ascii="楷体" w:hAnsi="楷体" w:eastAsia="楷体" w:cs="Arial"/>
                <w:sz w:val="24"/>
                <w:szCs w:val="24"/>
              </w:rPr>
              <w:t xml:space="preserve"> </w:t>
            </w:r>
          </w:p>
        </w:tc>
        <w:tc>
          <w:tcPr>
            <w:tcW w:w="10004" w:type="dxa"/>
            <w:vAlign w:val="center"/>
          </w:tcPr>
          <w:p>
            <w:pPr>
              <w:spacing w:line="360" w:lineRule="auto"/>
              <w:ind w:firstLine="480" w:firstLineChars="200"/>
              <w:rPr>
                <w:rFonts w:ascii="楷体" w:hAnsi="楷体" w:eastAsia="楷体" w:cs="SimSun-Identity-H"/>
                <w:sz w:val="24"/>
                <w:szCs w:val="24"/>
              </w:rPr>
            </w:pPr>
            <w:r>
              <w:rPr>
                <w:rFonts w:hint="eastAsia" w:ascii="楷体" w:hAnsi="楷体" w:eastAsia="楷体" w:cs="楷体"/>
                <w:sz w:val="24"/>
                <w:szCs w:val="24"/>
              </w:rPr>
              <w:t>公司制定并实施了</w:t>
            </w:r>
            <w:r>
              <w:rPr>
                <w:rFonts w:hint="eastAsia" w:ascii="楷体" w:hAnsi="楷体" w:eastAsia="楷体" w:cs="SimSun-Identity-H"/>
                <w:sz w:val="24"/>
                <w:szCs w:val="24"/>
              </w:rPr>
              <w:t>《固体废弃物管理程序》、《资源、能源管理程序》、《相关方管理程序》、《废水、废气管理程序》等环境控制程序和管理制度。</w:t>
            </w:r>
          </w:p>
          <w:p>
            <w:pPr>
              <w:spacing w:line="360" w:lineRule="auto"/>
              <w:ind w:firstLine="480" w:firstLineChars="200"/>
              <w:rPr>
                <w:rFonts w:hint="eastAsia" w:ascii="楷体" w:hAnsi="楷体" w:eastAsia="楷体" w:cs="SimSun-Identity-H"/>
                <w:sz w:val="24"/>
                <w:szCs w:val="24"/>
              </w:rPr>
            </w:pPr>
            <w:r>
              <w:rPr>
                <w:rFonts w:ascii="楷体" w:hAnsi="楷体" w:eastAsia="楷体" w:cs="SimSun-Identity-H"/>
                <w:sz w:val="24"/>
                <w:szCs w:val="24"/>
              </w:rPr>
              <w:t>公司位于</w:t>
            </w:r>
            <w:r>
              <w:rPr>
                <w:rFonts w:hint="eastAsia" w:ascii="楷体" w:hAnsi="楷体" w:eastAsia="楷体" w:cs="SimSun-Identity-H"/>
                <w:sz w:val="24"/>
                <w:szCs w:val="24"/>
              </w:rPr>
              <w:t>陕西省西安市雁塔区科技六路1号西安文理学院</w:t>
            </w:r>
            <w:r>
              <w:rPr>
                <w:rFonts w:ascii="楷体" w:hAnsi="楷体" w:eastAsia="楷体" w:cs="SimSun-Identity-H"/>
                <w:sz w:val="24"/>
                <w:szCs w:val="24"/>
              </w:rPr>
              <w:t>内</w:t>
            </w:r>
            <w:r>
              <w:rPr>
                <w:rFonts w:hint="eastAsia" w:ascii="楷体" w:hAnsi="楷体" w:eastAsia="楷体" w:cs="SimSun-Identity-H"/>
                <w:sz w:val="24"/>
                <w:szCs w:val="24"/>
              </w:rPr>
              <w:t>，</w:t>
            </w:r>
            <w:r>
              <w:rPr>
                <w:rFonts w:ascii="楷体" w:hAnsi="楷体" w:eastAsia="楷体" w:cs="SimSun-Identity-H"/>
                <w:sz w:val="24"/>
                <w:szCs w:val="24"/>
              </w:rPr>
              <w:t>周边是居民和学校</w:t>
            </w:r>
            <w:r>
              <w:rPr>
                <w:rFonts w:hint="eastAsia" w:ascii="楷体" w:hAnsi="楷体" w:eastAsia="楷体" w:cs="SimSun-Identity-H"/>
                <w:sz w:val="24"/>
                <w:szCs w:val="24"/>
              </w:rPr>
              <w:t>。</w:t>
            </w:r>
          </w:p>
          <w:p>
            <w:pPr>
              <w:spacing w:line="360" w:lineRule="auto"/>
              <w:ind w:firstLine="480" w:firstLineChars="200"/>
              <w:rPr>
                <w:rFonts w:ascii="楷体" w:hAnsi="楷体" w:eastAsia="楷体" w:cs="SimSun-Identity-H"/>
                <w:sz w:val="24"/>
                <w:szCs w:val="24"/>
              </w:rPr>
            </w:pPr>
            <w:r>
              <w:rPr>
                <w:rFonts w:hint="eastAsia" w:ascii="楷体" w:hAnsi="楷体" w:eastAsia="楷体" w:cs="SimSun-Identity-H"/>
                <w:sz w:val="24"/>
                <w:szCs w:val="24"/>
              </w:rPr>
              <w:t>按公司要求人走关灯，</w:t>
            </w:r>
            <w:r>
              <w:rPr>
                <w:rFonts w:hint="eastAsia" w:ascii="楷体" w:hAnsi="楷体" w:eastAsia="楷体" w:cs="SimSun-Identity-H"/>
                <w:sz w:val="24"/>
                <w:szCs w:val="24"/>
                <w:lang w:eastAsia="zh-CN"/>
              </w:rPr>
              <w:t>综合部</w:t>
            </w:r>
            <w:r>
              <w:rPr>
                <w:rFonts w:hint="eastAsia" w:ascii="楷体" w:hAnsi="楷体" w:eastAsia="楷体" w:cs="SimSun-Identity-H"/>
                <w:sz w:val="24"/>
                <w:szCs w:val="24"/>
              </w:rPr>
              <w:t>电脑要求人走后电源切断。</w:t>
            </w:r>
            <w:r>
              <w:rPr>
                <w:rFonts w:hint="eastAsia" w:ascii="楷体" w:hAnsi="楷体" w:eastAsia="楷体" w:cs="SimSun-Identity-H"/>
                <w:sz w:val="24"/>
                <w:szCs w:val="24"/>
                <w:lang w:eastAsia="zh-CN"/>
              </w:rPr>
              <w:t>综合部</w:t>
            </w:r>
            <w:r>
              <w:rPr>
                <w:rFonts w:hint="eastAsia" w:ascii="楷体" w:hAnsi="楷体" w:eastAsia="楷体" w:cs="SimSun-Identity-H"/>
                <w:sz w:val="24"/>
                <w:szCs w:val="24"/>
              </w:rPr>
              <w:t>垃圾主要包含可回收垃圾、硒鼓、废纸。公司配置了垃圾箱，</w:t>
            </w:r>
            <w:r>
              <w:rPr>
                <w:rFonts w:hint="eastAsia" w:ascii="楷体" w:hAnsi="楷体" w:eastAsia="楷体" w:cs="SimSun-Identity-H"/>
                <w:sz w:val="24"/>
                <w:szCs w:val="24"/>
                <w:lang w:eastAsia="zh-CN"/>
              </w:rPr>
              <w:t>综合部</w:t>
            </w:r>
            <w:r>
              <w:rPr>
                <w:rFonts w:hint="eastAsia" w:ascii="楷体" w:hAnsi="楷体" w:eastAsia="楷体" w:cs="SimSun-Identity-H"/>
                <w:sz w:val="24"/>
                <w:szCs w:val="24"/>
              </w:rPr>
              <w:t>统一处理。</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对可回收的固体废弃物，一部分由厂家回收，厂家不回收的公司统一回收再利用或由物资回收公司处理。不可回收的废弃物由公司</w:t>
            </w:r>
            <w:r>
              <w:rPr>
                <w:rFonts w:hint="eastAsia" w:ascii="楷体" w:hAnsi="楷体" w:eastAsia="楷体" w:cs="楷体"/>
                <w:sz w:val="24"/>
                <w:szCs w:val="24"/>
                <w:lang w:eastAsia="zh-CN"/>
              </w:rPr>
              <w:t>综合部</w:t>
            </w:r>
            <w:r>
              <w:rPr>
                <w:rFonts w:hint="eastAsia" w:ascii="楷体" w:hAnsi="楷体" w:eastAsia="楷体" w:cs="楷体"/>
                <w:sz w:val="24"/>
                <w:szCs w:val="24"/>
              </w:rPr>
              <w:t>统一处理，各部门不得单独处理。</w:t>
            </w:r>
          </w:p>
          <w:p>
            <w:pPr>
              <w:spacing w:line="360" w:lineRule="auto"/>
              <w:ind w:firstLine="480" w:firstLineChars="200"/>
              <w:rPr>
                <w:rFonts w:hint="eastAsia" w:ascii="楷体" w:hAnsi="楷体" w:eastAsia="楷体" w:cs="Arial"/>
                <w:sz w:val="24"/>
                <w:szCs w:val="24"/>
              </w:rPr>
            </w:pPr>
            <w:r>
              <w:rPr>
                <w:rFonts w:hint="eastAsia" w:ascii="楷体" w:hAnsi="楷体" w:eastAsia="楷体" w:cs="楷体"/>
                <w:sz w:val="24"/>
                <w:szCs w:val="24"/>
              </w:rPr>
              <w:t>查到</w:t>
            </w:r>
            <w:r>
              <w:rPr>
                <w:rFonts w:hint="eastAsia" w:ascii="楷体" w:hAnsi="楷体" w:eastAsia="楷体" w:cs="楷体"/>
                <w:sz w:val="24"/>
                <w:szCs w:val="24"/>
                <w:lang w:val="en-US" w:eastAsia="zh-CN"/>
              </w:rPr>
              <w:t>2021年</w:t>
            </w:r>
            <w:r>
              <w:rPr>
                <w:rFonts w:hint="eastAsia" w:ascii="楷体" w:hAnsi="楷体" w:eastAsia="楷体" w:cs="楷体"/>
                <w:sz w:val="24"/>
                <w:szCs w:val="24"/>
              </w:rPr>
              <w:t>《固体废弃物处置记录表》，记录了日常办公过程中的生活垃圾的处理情况。</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生活废水排入市政污水管网。</w:t>
            </w:r>
          </w:p>
          <w:p>
            <w:pPr>
              <w:spacing w:line="360" w:lineRule="auto"/>
              <w:ind w:firstLine="480" w:firstLineChars="200"/>
              <w:rPr>
                <w:rFonts w:ascii="楷体" w:hAnsi="楷体" w:eastAsia="楷体" w:cs="Arial"/>
                <w:sz w:val="24"/>
                <w:szCs w:val="24"/>
              </w:rPr>
            </w:pPr>
            <w:r>
              <w:rPr>
                <w:rFonts w:hint="eastAsia" w:ascii="楷体" w:hAnsi="楷体" w:eastAsia="楷体" w:cs="楷体"/>
                <w:sz w:val="24"/>
                <w:szCs w:val="24"/>
                <w:lang w:eastAsia="zh-CN"/>
              </w:rPr>
              <w:t>综合部</w:t>
            </w:r>
            <w:r>
              <w:rPr>
                <w:rFonts w:hint="eastAsia" w:ascii="楷体" w:hAnsi="楷体" w:eastAsia="楷体" w:cs="楷体"/>
                <w:sz w:val="24"/>
                <w:szCs w:val="24"/>
              </w:rPr>
              <w:t>内主要是电的使用，电器有漏电保护器，经常对电路、电源进行检查，没有露电现象发生。</w:t>
            </w:r>
            <w:r>
              <w:rPr>
                <w:rFonts w:hint="eastAsia" w:ascii="楷体" w:hAnsi="楷体" w:eastAsia="楷体" w:cs="Arial"/>
                <w:sz w:val="24"/>
                <w:szCs w:val="24"/>
              </w:rPr>
              <w:t>现场巡视办公区域消防栓正常，电线、电气插座完整，未见破损，空调设定在26℃。</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lang w:eastAsia="zh-CN"/>
              </w:rPr>
              <w:t>综合部</w:t>
            </w:r>
            <w:r>
              <w:rPr>
                <w:rFonts w:hint="eastAsia" w:ascii="楷体" w:hAnsi="楷体" w:eastAsia="楷体" w:cs="楷体"/>
                <w:sz w:val="24"/>
                <w:szCs w:val="24"/>
              </w:rPr>
              <w:t>部门运行控制基本符合规定要求。</w:t>
            </w:r>
          </w:p>
          <w:p>
            <w:pPr>
              <w:spacing w:line="360" w:lineRule="auto"/>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sz w:val="24"/>
                <w:szCs w:val="24"/>
              </w:rPr>
              <w:t>部门运行控制能结合产品生命周期方法，基本符合规定要求。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cs="楷体"/>
                <w:bCs/>
                <w:sz w:val="24"/>
                <w:szCs w:val="24"/>
              </w:rPr>
            </w:pPr>
            <w:r>
              <w:rPr>
                <w:rFonts w:hint="eastAsia" w:ascii="楷体" w:hAnsi="楷体" w:eastAsia="楷体" w:cs="Arial"/>
                <w:sz w:val="24"/>
                <w:szCs w:val="24"/>
              </w:rPr>
              <w:t>应急准备和响应</w:t>
            </w:r>
          </w:p>
          <w:p>
            <w:pPr>
              <w:spacing w:line="360" w:lineRule="auto"/>
              <w:rPr>
                <w:rFonts w:hint="eastAsia" w:ascii="楷体" w:hAnsi="楷体" w:eastAsia="楷体" w:cs="Times New Roman"/>
                <w:kern w:val="2"/>
                <w:sz w:val="24"/>
                <w:szCs w:val="24"/>
                <w:lang w:val="en-US" w:eastAsia="zh-CN" w:bidi="ar-SA"/>
              </w:rPr>
            </w:pPr>
          </w:p>
        </w:tc>
        <w:tc>
          <w:tcPr>
            <w:tcW w:w="1311" w:type="dxa"/>
            <w:vAlign w:val="top"/>
          </w:tcPr>
          <w:p>
            <w:pPr>
              <w:spacing w:line="360" w:lineRule="auto"/>
              <w:rPr>
                <w:rFonts w:hint="eastAsia" w:ascii="楷体" w:hAnsi="楷体" w:eastAsia="楷体" w:cs="楷体"/>
                <w:bCs/>
                <w:sz w:val="24"/>
                <w:szCs w:val="24"/>
              </w:rPr>
            </w:pPr>
          </w:p>
          <w:p>
            <w:pPr>
              <w:spacing w:line="360" w:lineRule="auto"/>
              <w:rPr>
                <w:rFonts w:ascii="楷体" w:hAnsi="楷体" w:eastAsia="楷体" w:cs="楷体"/>
                <w:bCs/>
                <w:sz w:val="24"/>
                <w:szCs w:val="24"/>
              </w:rPr>
            </w:pPr>
            <w:r>
              <w:rPr>
                <w:rFonts w:hint="eastAsia" w:ascii="楷体" w:hAnsi="楷体" w:eastAsia="楷体" w:cs="楷体"/>
                <w:bCs/>
                <w:sz w:val="24"/>
                <w:szCs w:val="24"/>
              </w:rPr>
              <w:t>E：</w:t>
            </w:r>
            <w:r>
              <w:rPr>
                <w:rFonts w:hint="eastAsia" w:ascii="楷体" w:hAnsi="楷体" w:eastAsia="楷体" w:cs="Arial"/>
                <w:sz w:val="24"/>
                <w:szCs w:val="24"/>
              </w:rPr>
              <w:t>8.2</w:t>
            </w:r>
          </w:p>
          <w:p>
            <w:pPr>
              <w:spacing w:line="360" w:lineRule="auto"/>
              <w:rPr>
                <w:rFonts w:ascii="楷体" w:hAnsi="楷体" w:eastAsia="楷体" w:cs="楷体"/>
                <w:bCs/>
                <w:sz w:val="24"/>
                <w:szCs w:val="24"/>
              </w:rPr>
            </w:pPr>
          </w:p>
          <w:p>
            <w:pPr>
              <w:spacing w:line="360" w:lineRule="auto"/>
              <w:rPr>
                <w:rFonts w:ascii="楷体" w:hAnsi="楷体" w:eastAsia="楷体" w:cs="楷体"/>
                <w:bCs/>
                <w:kern w:val="2"/>
                <w:sz w:val="24"/>
                <w:szCs w:val="24"/>
                <w:lang w:val="en-US" w:eastAsia="zh-CN" w:bidi="ar-SA"/>
              </w:rPr>
            </w:pPr>
          </w:p>
        </w:tc>
        <w:tc>
          <w:tcPr>
            <w:tcW w:w="10004" w:type="dxa"/>
            <w:vAlign w:val="top"/>
          </w:tcPr>
          <w:p>
            <w:pPr>
              <w:tabs>
                <w:tab w:val="left" w:pos="6597"/>
              </w:tabs>
              <w:spacing w:line="360" w:lineRule="auto"/>
              <w:ind w:firstLine="480" w:firstLineChars="200"/>
              <w:rPr>
                <w:rFonts w:hint="eastAsia" w:ascii="楷体" w:hAnsi="楷体" w:eastAsia="楷体" w:cs="楷体"/>
                <w:color w:val="000000"/>
                <w:sz w:val="24"/>
                <w:szCs w:val="24"/>
              </w:rPr>
            </w:pPr>
            <w:r>
              <w:rPr>
                <w:rFonts w:hint="eastAsia" w:ascii="楷体" w:hAnsi="楷体" w:eastAsia="楷体" w:cs="楷体"/>
                <w:color w:val="000000"/>
                <w:sz w:val="24"/>
                <w:szCs w:val="24"/>
              </w:rPr>
              <w:t>编制了《消防火灾应急疏散预案》，其中成立了公司消防火灾指挥小组 ，组长：吕珂玲，副组长：杨杰，包括：职责、处理程序、现场应急措施等，相关内容基本充分。</w:t>
            </w:r>
          </w:p>
          <w:p>
            <w:pPr>
              <w:tabs>
                <w:tab w:val="left" w:pos="6597"/>
              </w:tabs>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现场查看现场的灭火器和消防栓状况良好</w:t>
            </w:r>
            <w:r>
              <w:rPr>
                <w:rFonts w:hint="eastAsia" w:ascii="楷体" w:hAnsi="楷体" w:eastAsia="楷体" w:cs="楷体"/>
                <w:sz w:val="24"/>
                <w:szCs w:val="24"/>
              </w:rPr>
              <w:t>。</w:t>
            </w:r>
          </w:p>
          <w:p>
            <w:pPr>
              <w:tabs>
                <w:tab w:val="left" w:pos="6597"/>
              </w:tabs>
              <w:spacing w:line="360" w:lineRule="auto"/>
              <w:ind w:firstLine="480" w:firstLineChars="200"/>
              <w:rPr>
                <w:rFonts w:hint="eastAsia" w:ascii="楷体" w:hAnsi="楷体" w:eastAsia="楷体" w:cs="楷体"/>
                <w:color w:val="000000"/>
                <w:sz w:val="24"/>
                <w:szCs w:val="24"/>
                <w:lang w:eastAsia="zh-CN"/>
              </w:rPr>
            </w:pPr>
            <w:r>
              <w:rPr>
                <w:rFonts w:hint="eastAsia" w:ascii="楷体" w:hAnsi="楷体" w:eastAsia="楷体" w:cs="楷体"/>
                <w:color w:val="000000"/>
                <w:sz w:val="24"/>
                <w:szCs w:val="24"/>
              </w:rPr>
              <w:t>20</w:t>
            </w:r>
            <w:r>
              <w:rPr>
                <w:rFonts w:hint="eastAsia" w:ascii="楷体" w:hAnsi="楷体" w:eastAsia="楷体" w:cs="楷体"/>
                <w:color w:val="000000"/>
                <w:sz w:val="24"/>
                <w:szCs w:val="24"/>
                <w:lang w:val="en-US" w:eastAsia="zh-CN"/>
              </w:rPr>
              <w:t>21</w:t>
            </w:r>
            <w:r>
              <w:rPr>
                <w:rFonts w:hint="eastAsia" w:ascii="楷体" w:hAnsi="楷体" w:eastAsia="楷体" w:cs="楷体"/>
                <w:color w:val="000000"/>
                <w:sz w:val="24"/>
                <w:szCs w:val="24"/>
              </w:rPr>
              <w:t>年</w:t>
            </w:r>
            <w:bookmarkStart w:id="0" w:name="_GoBack"/>
            <w:r>
              <w:rPr>
                <w:rFonts w:hint="eastAsia" w:ascii="楷体" w:hAnsi="楷体" w:eastAsia="楷体" w:cs="楷体"/>
                <w:color w:val="000000"/>
                <w:sz w:val="24"/>
                <w:szCs w:val="24"/>
              </w:rPr>
              <w:t>6月2</w:t>
            </w:r>
            <w:r>
              <w:rPr>
                <w:rFonts w:hint="eastAsia" w:ascii="楷体" w:hAnsi="楷体" w:eastAsia="楷体" w:cs="楷体"/>
                <w:color w:val="000000"/>
                <w:sz w:val="24"/>
                <w:szCs w:val="24"/>
                <w:lang w:val="en-US" w:eastAsia="zh-CN"/>
              </w:rPr>
              <w:t>5</w:t>
            </w:r>
            <w:r>
              <w:rPr>
                <w:rFonts w:hint="eastAsia" w:ascii="楷体" w:hAnsi="楷体" w:eastAsia="楷体" w:cs="楷体"/>
                <w:color w:val="000000"/>
                <w:sz w:val="24"/>
                <w:szCs w:val="24"/>
              </w:rPr>
              <w:t>日</w:t>
            </w:r>
            <w:bookmarkEnd w:id="0"/>
            <w:r>
              <w:rPr>
                <w:rFonts w:hint="eastAsia" w:ascii="楷体" w:hAnsi="楷体" w:eastAsia="楷体" w:cs="楷体"/>
                <w:color w:val="000000"/>
                <w:sz w:val="24"/>
                <w:szCs w:val="24"/>
              </w:rPr>
              <w:t>进行了火灾消防</w:t>
            </w:r>
            <w:r>
              <w:rPr>
                <w:rFonts w:hint="eastAsia" w:ascii="楷体" w:hAnsi="楷体" w:eastAsia="楷体" w:cs="楷体"/>
                <w:color w:val="000000"/>
                <w:sz w:val="24"/>
                <w:szCs w:val="24"/>
                <w:lang w:val="en-US" w:eastAsia="zh-CN"/>
              </w:rPr>
              <w:t>培训和</w:t>
            </w:r>
            <w:r>
              <w:rPr>
                <w:rFonts w:hint="eastAsia" w:ascii="楷体" w:hAnsi="楷体" w:eastAsia="楷体" w:cs="楷体"/>
                <w:color w:val="000000"/>
                <w:sz w:val="24"/>
                <w:szCs w:val="24"/>
              </w:rPr>
              <w:t>演练，记录了演练过程</w:t>
            </w:r>
            <w:r>
              <w:rPr>
                <w:rFonts w:hint="eastAsia" w:ascii="楷体" w:hAnsi="楷体" w:eastAsia="楷体" w:cs="楷体"/>
                <w:color w:val="000000"/>
                <w:sz w:val="24"/>
                <w:szCs w:val="24"/>
                <w:lang w:eastAsia="zh-CN"/>
              </w:rPr>
              <w:t>。</w:t>
            </w:r>
          </w:p>
          <w:p>
            <w:pPr>
              <w:tabs>
                <w:tab w:val="left" w:pos="6597"/>
              </w:tabs>
              <w:spacing w:line="360" w:lineRule="auto"/>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color w:val="000000"/>
                <w:sz w:val="24"/>
                <w:szCs w:val="24"/>
              </w:rPr>
              <w:t>自体系运行以来尚未发生紧急情况。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hint="eastAsia" w:ascii="楷体" w:hAnsi="楷体" w:eastAsia="楷体" w:cs="Times New Roman"/>
                <w:kern w:val="2"/>
                <w:sz w:val="24"/>
                <w:szCs w:val="24"/>
                <w:lang w:val="en-US" w:eastAsia="zh-CN" w:bidi="ar-SA"/>
              </w:rPr>
            </w:pPr>
            <w:r>
              <w:rPr>
                <w:rFonts w:hint="eastAsia" w:ascii="楷体" w:hAnsi="楷体" w:eastAsia="楷体" w:cs="楷体"/>
                <w:sz w:val="24"/>
                <w:szCs w:val="24"/>
              </w:rPr>
              <w:t>监视、测量、分析和评价</w:t>
            </w:r>
          </w:p>
        </w:tc>
        <w:tc>
          <w:tcPr>
            <w:tcW w:w="1311" w:type="dxa"/>
            <w:vAlign w:val="center"/>
          </w:tcPr>
          <w:p>
            <w:pPr>
              <w:spacing w:line="360" w:lineRule="auto"/>
              <w:rPr>
                <w:rFonts w:ascii="楷体" w:hAnsi="楷体" w:eastAsia="楷体" w:cs="楷体"/>
                <w:sz w:val="24"/>
                <w:szCs w:val="24"/>
              </w:rPr>
            </w:pPr>
            <w:r>
              <w:rPr>
                <w:rFonts w:hint="eastAsia" w:ascii="楷体" w:hAnsi="楷体" w:eastAsia="楷体" w:cs="楷体"/>
                <w:sz w:val="24"/>
                <w:szCs w:val="24"/>
              </w:rPr>
              <w:t>E：9.1.1</w:t>
            </w:r>
          </w:p>
          <w:p>
            <w:pPr>
              <w:spacing w:line="360" w:lineRule="auto"/>
              <w:ind w:firstLine="480" w:firstLineChars="200"/>
              <w:rPr>
                <w:rFonts w:ascii="楷体" w:hAnsi="楷体" w:eastAsia="楷体" w:cs="楷体"/>
                <w:kern w:val="2"/>
                <w:sz w:val="24"/>
                <w:szCs w:val="24"/>
                <w:lang w:val="en-US" w:eastAsia="zh-CN" w:bidi="ar-SA"/>
              </w:rPr>
            </w:pPr>
            <w:r>
              <w:rPr>
                <w:rFonts w:hint="eastAsia" w:ascii="楷体" w:hAnsi="楷体" w:eastAsia="楷体" w:cs="楷体"/>
                <w:sz w:val="24"/>
                <w:szCs w:val="24"/>
              </w:rPr>
              <w:t xml:space="preserve"> </w:t>
            </w:r>
          </w:p>
        </w:tc>
        <w:tc>
          <w:tcPr>
            <w:tcW w:w="10004" w:type="dxa"/>
            <w:vAlign w:val="center"/>
          </w:tcPr>
          <w:p>
            <w:pPr>
              <w:spacing w:line="360" w:lineRule="auto"/>
              <w:ind w:firstLine="480" w:firstLineChars="200"/>
              <w:jc w:val="left"/>
              <w:rPr>
                <w:rFonts w:ascii="楷体" w:hAnsi="楷体" w:eastAsia="楷体" w:cs="楷体"/>
                <w:sz w:val="24"/>
                <w:szCs w:val="24"/>
              </w:rPr>
            </w:pPr>
            <w:r>
              <w:rPr>
                <w:rFonts w:hint="eastAsia" w:ascii="楷体" w:hAnsi="楷体" w:eastAsia="楷体" w:cs="楷体"/>
                <w:sz w:val="24"/>
                <w:szCs w:val="24"/>
              </w:rPr>
              <w:t>查到《环境目标统计》，记录了公司环境目标完成情况，查20</w:t>
            </w:r>
            <w:r>
              <w:rPr>
                <w:rFonts w:hint="eastAsia" w:ascii="楷体" w:hAnsi="楷体" w:eastAsia="楷体" w:cs="楷体"/>
                <w:sz w:val="24"/>
                <w:szCs w:val="24"/>
                <w:lang w:val="en-US" w:eastAsia="zh-CN"/>
              </w:rPr>
              <w:t>21</w:t>
            </w:r>
            <w:r>
              <w:rPr>
                <w:rFonts w:hint="eastAsia" w:ascii="楷体" w:hAnsi="楷体" w:eastAsia="楷体" w:cs="楷体"/>
                <w:sz w:val="24"/>
                <w:szCs w:val="24"/>
              </w:rPr>
              <w:t>年1-6月完成情况：公司目标均已完成。</w:t>
            </w:r>
          </w:p>
          <w:p>
            <w:pPr>
              <w:spacing w:line="360" w:lineRule="auto"/>
              <w:ind w:firstLine="480" w:firstLineChars="200"/>
              <w:jc w:val="left"/>
              <w:rPr>
                <w:rFonts w:ascii="楷体" w:hAnsi="楷体" w:eastAsia="楷体" w:cs="楷体"/>
                <w:sz w:val="24"/>
                <w:szCs w:val="24"/>
              </w:rPr>
            </w:pPr>
            <w:r>
              <w:rPr>
                <w:rFonts w:hint="eastAsia" w:ascii="楷体" w:hAnsi="楷体" w:eastAsia="楷体" w:cs="楷体"/>
                <w:sz w:val="24"/>
                <w:szCs w:val="24"/>
              </w:rPr>
              <w:t>查见《环境检查月报》，按既定的项目及频次对相关部位实施监控，抽查20</w:t>
            </w:r>
            <w:r>
              <w:rPr>
                <w:rFonts w:hint="eastAsia" w:ascii="楷体" w:hAnsi="楷体" w:eastAsia="楷体" w:cs="楷体"/>
                <w:sz w:val="24"/>
                <w:szCs w:val="24"/>
                <w:lang w:val="en-US" w:eastAsia="zh-CN"/>
              </w:rPr>
              <w:t>21</w:t>
            </w:r>
            <w:r>
              <w:rPr>
                <w:rFonts w:hint="eastAsia" w:ascii="楷体" w:hAnsi="楷体" w:eastAsia="楷体" w:cs="楷体"/>
                <w:sz w:val="24"/>
                <w:szCs w:val="24"/>
              </w:rPr>
              <w:t>.</w:t>
            </w:r>
            <w:r>
              <w:rPr>
                <w:rFonts w:hint="eastAsia" w:ascii="楷体" w:hAnsi="楷体" w:eastAsia="楷体" w:cs="楷体"/>
                <w:sz w:val="24"/>
                <w:szCs w:val="24"/>
                <w:lang w:val="en-US" w:eastAsia="zh-CN"/>
              </w:rPr>
              <w:t>6</w:t>
            </w:r>
            <w:r>
              <w:rPr>
                <w:rFonts w:hint="eastAsia" w:ascii="楷体" w:hAnsi="楷体" w:eastAsia="楷体" w:cs="楷体"/>
                <w:sz w:val="24"/>
                <w:szCs w:val="24"/>
              </w:rPr>
              <w:t>.</w:t>
            </w:r>
            <w:r>
              <w:rPr>
                <w:rFonts w:hint="eastAsia" w:ascii="楷体" w:hAnsi="楷体" w:eastAsia="楷体" w:cs="楷体"/>
                <w:sz w:val="24"/>
                <w:szCs w:val="24"/>
                <w:lang w:val="en-US" w:eastAsia="zh-CN"/>
              </w:rPr>
              <w:t>30</w:t>
            </w:r>
            <w:r>
              <w:rPr>
                <w:rFonts w:hint="eastAsia" w:ascii="楷体" w:hAnsi="楷体" w:eastAsia="楷体" w:cs="楷体"/>
                <w:sz w:val="24"/>
                <w:szCs w:val="24"/>
              </w:rPr>
              <w:t>日、20</w:t>
            </w:r>
            <w:r>
              <w:rPr>
                <w:rFonts w:hint="eastAsia" w:ascii="楷体" w:hAnsi="楷体" w:eastAsia="楷体" w:cs="楷体"/>
                <w:sz w:val="24"/>
                <w:szCs w:val="24"/>
                <w:lang w:val="en-US" w:eastAsia="zh-CN"/>
              </w:rPr>
              <w:t>21</w:t>
            </w: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w:t>
            </w:r>
            <w:r>
              <w:rPr>
                <w:rFonts w:hint="eastAsia" w:ascii="楷体" w:hAnsi="楷体" w:eastAsia="楷体" w:cs="楷体"/>
                <w:sz w:val="24"/>
                <w:szCs w:val="24"/>
                <w:lang w:val="en-US" w:eastAsia="zh-CN"/>
              </w:rPr>
              <w:t>30</w:t>
            </w:r>
            <w:r>
              <w:rPr>
                <w:rFonts w:hint="eastAsia" w:ascii="楷体" w:hAnsi="楷体" w:eastAsia="楷体" w:cs="楷体"/>
                <w:sz w:val="24"/>
                <w:szCs w:val="24"/>
              </w:rPr>
              <w:t>日检查记录，检查项目包括: 固体废弃物处理; 水电等能源使用; 办公文具资源使用; 生活垃圾处理; 部门环保意识培训; 环保标识; 环境文件培训 消防器材齐全; 消防器材保养; 消防器材使用; 消防作业演练;从检查情况来看，各检查项均良好，检查人杨杰。</w:t>
            </w:r>
          </w:p>
          <w:p>
            <w:pPr>
              <w:spacing w:line="360" w:lineRule="auto"/>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sz w:val="24"/>
                <w:szCs w:val="24"/>
              </w:rPr>
              <w:t>经交流公司无用于环境和安全监测的设备。</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hint="eastAsia" w:ascii="楷体" w:hAnsi="楷体" w:eastAsia="楷体" w:cs="Times New Roman"/>
                <w:kern w:val="2"/>
                <w:sz w:val="24"/>
                <w:szCs w:val="24"/>
                <w:lang w:val="en-US" w:eastAsia="zh-CN" w:bidi="ar-SA"/>
              </w:rPr>
            </w:pPr>
            <w:r>
              <w:rPr>
                <w:rFonts w:hint="eastAsia" w:ascii="楷体" w:hAnsi="楷体" w:eastAsia="楷体" w:cs="Arial"/>
                <w:sz w:val="24"/>
                <w:szCs w:val="24"/>
              </w:rPr>
              <w:t>合规性评价</w:t>
            </w:r>
          </w:p>
        </w:tc>
        <w:tc>
          <w:tcPr>
            <w:tcW w:w="1311" w:type="dxa"/>
            <w:vAlign w:val="center"/>
          </w:tcPr>
          <w:p>
            <w:pPr>
              <w:spacing w:line="360" w:lineRule="auto"/>
              <w:rPr>
                <w:rFonts w:ascii="楷体" w:hAnsi="楷体" w:eastAsia="楷体" w:cs="楷体"/>
                <w:bCs/>
                <w:kern w:val="2"/>
                <w:sz w:val="24"/>
                <w:szCs w:val="24"/>
                <w:lang w:val="en-US" w:eastAsia="zh-CN" w:bidi="ar-SA"/>
              </w:rPr>
            </w:pPr>
            <w:r>
              <w:rPr>
                <w:rFonts w:hint="eastAsia" w:ascii="楷体" w:hAnsi="楷体" w:eastAsia="楷体" w:cs="Arial"/>
                <w:sz w:val="24"/>
                <w:szCs w:val="24"/>
              </w:rPr>
              <w:t>E9.1.2</w:t>
            </w:r>
            <w:r>
              <w:rPr>
                <w:rFonts w:hint="eastAsia" w:ascii="楷体" w:hAnsi="楷体" w:eastAsia="楷体" w:cs="楷体"/>
                <w:bCs/>
                <w:sz w:val="24"/>
                <w:szCs w:val="24"/>
              </w:rPr>
              <w:t xml:space="preserve"> </w:t>
            </w:r>
          </w:p>
        </w:tc>
        <w:tc>
          <w:tcPr>
            <w:tcW w:w="10004" w:type="dxa"/>
            <w:vAlign w:val="center"/>
          </w:tcPr>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编制了《合规性评价控制程序》，</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现场提供了《合规性评价报告》,对公司适用的法律法规及其他要求的遵守情况进行了评价，评价结论：公司各部门能有效遵循法律法规进行运行，未发生环境扰民事件，未有相邻单位和个人投诉，无环境污染事件发生，没有发生安全事故。</w:t>
            </w:r>
          </w:p>
          <w:p>
            <w:pPr>
              <w:spacing w:line="360" w:lineRule="auto"/>
              <w:ind w:left="600" w:leftChars="0"/>
              <w:rPr>
                <w:rFonts w:hint="eastAsia" w:ascii="楷体" w:hAnsi="楷体" w:eastAsia="楷体" w:cs="楷体"/>
                <w:kern w:val="2"/>
                <w:sz w:val="24"/>
                <w:szCs w:val="24"/>
                <w:lang w:val="en-US" w:eastAsia="zh-CN" w:bidi="ar-SA"/>
              </w:rPr>
            </w:pPr>
            <w:r>
              <w:rPr>
                <w:rFonts w:hint="eastAsia" w:ascii="楷体" w:hAnsi="楷体" w:eastAsia="楷体" w:cs="楷体"/>
                <w:sz w:val="24"/>
                <w:szCs w:val="24"/>
              </w:rPr>
              <w:t>评价组长：吕珂玲，成员：杨杰、</w:t>
            </w:r>
            <w:r>
              <w:rPr>
                <w:rFonts w:hint="eastAsia" w:ascii="楷体" w:hAnsi="楷体" w:eastAsia="楷体" w:cs="楷体"/>
                <w:sz w:val="24"/>
                <w:szCs w:val="24"/>
                <w:lang w:val="en-US" w:eastAsia="zh-CN"/>
              </w:rPr>
              <w:t>王红</w:t>
            </w:r>
            <w:r>
              <w:rPr>
                <w:rFonts w:hint="eastAsia" w:ascii="楷体" w:hAnsi="楷体" w:eastAsia="楷体" w:cs="楷体"/>
                <w:sz w:val="24"/>
                <w:szCs w:val="24"/>
              </w:rPr>
              <w:t>、梁薇；评价日期：20</w:t>
            </w:r>
            <w:r>
              <w:rPr>
                <w:rFonts w:hint="eastAsia" w:ascii="楷体" w:hAnsi="楷体" w:eastAsia="楷体" w:cs="楷体"/>
                <w:sz w:val="24"/>
                <w:szCs w:val="24"/>
                <w:lang w:val="en-US" w:eastAsia="zh-CN"/>
              </w:rPr>
              <w:t>21</w:t>
            </w:r>
            <w:r>
              <w:rPr>
                <w:rFonts w:hint="eastAsia" w:ascii="楷体" w:hAnsi="楷体" w:eastAsia="楷体" w:cs="楷体"/>
                <w:sz w:val="24"/>
                <w:szCs w:val="24"/>
              </w:rPr>
              <w:t>.</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日。</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7" w:hRule="atLeast"/>
        </w:trPr>
        <w:tc>
          <w:tcPr>
            <w:tcW w:w="1809" w:type="dxa"/>
            <w:vAlign w:val="center"/>
          </w:tcPr>
          <w:p>
            <w:pPr>
              <w:spacing w:line="360" w:lineRule="auto"/>
              <w:rPr>
                <w:rFonts w:ascii="楷体" w:hAnsi="楷体" w:eastAsia="楷体"/>
                <w:sz w:val="24"/>
                <w:szCs w:val="24"/>
              </w:rPr>
            </w:pPr>
            <w:r>
              <w:rPr>
                <w:rFonts w:hint="eastAsia" w:ascii="楷体" w:hAnsi="楷体" w:eastAsia="楷体" w:cs="Arial"/>
                <w:bCs/>
                <w:sz w:val="24"/>
                <w:szCs w:val="24"/>
              </w:rPr>
              <w:t>内部审核</w:t>
            </w:r>
          </w:p>
        </w:tc>
        <w:tc>
          <w:tcPr>
            <w:tcW w:w="1311" w:type="dxa"/>
          </w:tcPr>
          <w:p>
            <w:pPr>
              <w:spacing w:line="360" w:lineRule="auto"/>
              <w:rPr>
                <w:rFonts w:hint="eastAsia" w:ascii="楷体" w:hAnsi="楷体" w:eastAsia="楷体" w:cs="Arial"/>
                <w:bCs/>
                <w:sz w:val="24"/>
                <w:szCs w:val="24"/>
              </w:rPr>
            </w:pPr>
          </w:p>
          <w:p>
            <w:pPr>
              <w:spacing w:line="360" w:lineRule="auto"/>
              <w:rPr>
                <w:rFonts w:hint="eastAsia" w:ascii="楷体" w:hAnsi="楷体" w:eastAsia="楷体" w:cs="Arial"/>
                <w:bCs/>
                <w:sz w:val="24"/>
                <w:szCs w:val="24"/>
              </w:rPr>
            </w:pPr>
          </w:p>
          <w:p>
            <w:pPr>
              <w:spacing w:line="360" w:lineRule="auto"/>
              <w:rPr>
                <w:rFonts w:hint="eastAsia" w:ascii="楷体" w:hAnsi="楷体" w:eastAsia="楷体" w:cs="Arial"/>
                <w:bCs/>
                <w:sz w:val="24"/>
                <w:szCs w:val="24"/>
              </w:rPr>
            </w:pPr>
          </w:p>
          <w:p>
            <w:pPr>
              <w:spacing w:line="360" w:lineRule="auto"/>
              <w:rPr>
                <w:rFonts w:hint="eastAsia" w:ascii="楷体" w:hAnsi="楷体" w:eastAsia="楷体" w:cs="Arial"/>
                <w:bCs/>
                <w:sz w:val="24"/>
                <w:szCs w:val="24"/>
              </w:rPr>
            </w:pPr>
          </w:p>
          <w:p>
            <w:pPr>
              <w:spacing w:line="360" w:lineRule="auto"/>
              <w:rPr>
                <w:rFonts w:hint="eastAsia" w:ascii="楷体" w:hAnsi="楷体" w:eastAsia="楷体" w:cs="Arial"/>
                <w:bCs/>
                <w:sz w:val="24"/>
                <w:szCs w:val="24"/>
              </w:rPr>
            </w:pPr>
          </w:p>
          <w:p>
            <w:pPr>
              <w:spacing w:line="360" w:lineRule="auto"/>
              <w:rPr>
                <w:rFonts w:ascii="楷体" w:hAnsi="楷体" w:eastAsia="楷体" w:cs="Arial"/>
                <w:bCs/>
                <w:sz w:val="24"/>
                <w:szCs w:val="24"/>
              </w:rPr>
            </w:pPr>
            <w:r>
              <w:rPr>
                <w:rFonts w:hint="eastAsia" w:ascii="楷体" w:hAnsi="楷体" w:eastAsia="楷体" w:cs="Arial"/>
                <w:bCs/>
                <w:sz w:val="24"/>
                <w:szCs w:val="24"/>
              </w:rPr>
              <w:t>E：9.2</w:t>
            </w:r>
          </w:p>
          <w:p>
            <w:pPr>
              <w:spacing w:line="360" w:lineRule="auto"/>
              <w:rPr>
                <w:rFonts w:ascii="楷体" w:hAnsi="楷体" w:eastAsia="楷体" w:cs="Arial"/>
                <w:bCs/>
                <w:sz w:val="24"/>
                <w:szCs w:val="24"/>
              </w:rPr>
            </w:pPr>
          </w:p>
        </w:tc>
        <w:tc>
          <w:tcPr>
            <w:tcW w:w="10004" w:type="dxa"/>
          </w:tcPr>
          <w:p>
            <w:pPr>
              <w:spacing w:line="360" w:lineRule="auto"/>
              <w:ind w:firstLine="480" w:firstLineChars="200"/>
              <w:rPr>
                <w:rFonts w:hint="eastAsia" w:ascii="楷体" w:hAnsi="楷体" w:eastAsia="楷体" w:cs="Arial"/>
                <w:bCs/>
                <w:sz w:val="24"/>
                <w:szCs w:val="24"/>
              </w:rPr>
            </w:pPr>
            <w:r>
              <w:rPr>
                <w:rFonts w:hint="eastAsia" w:ascii="楷体" w:hAnsi="楷体" w:eastAsia="楷体" w:cs="Arial"/>
                <w:bCs/>
                <w:sz w:val="24"/>
                <w:szCs w:val="24"/>
              </w:rPr>
              <w:t>由组长</w:t>
            </w:r>
            <w:r>
              <w:rPr>
                <w:rFonts w:hint="eastAsia" w:ascii="楷体" w:hAnsi="楷体" w:eastAsia="楷体"/>
                <w:sz w:val="24"/>
                <w:szCs w:val="24"/>
                <w:lang w:val="en-US" w:eastAsia="zh-CN"/>
              </w:rPr>
              <w:t>王红</w:t>
            </w:r>
            <w:r>
              <w:rPr>
                <w:rFonts w:hint="eastAsia" w:ascii="楷体" w:hAnsi="楷体" w:eastAsia="楷体" w:cs="Arial"/>
                <w:bCs/>
                <w:sz w:val="24"/>
                <w:szCs w:val="24"/>
              </w:rPr>
              <w:t>组织内部审核，查年度审核计划：提供《内部审核计划》，其内容已包括了审核目的、范围、依据、计划编制日期20</w:t>
            </w:r>
            <w:r>
              <w:rPr>
                <w:rFonts w:hint="eastAsia" w:ascii="楷体" w:hAnsi="楷体" w:eastAsia="楷体" w:cs="Arial"/>
                <w:bCs/>
                <w:sz w:val="24"/>
                <w:szCs w:val="24"/>
                <w:lang w:val="en-US" w:eastAsia="zh-CN"/>
              </w:rPr>
              <w:t>21</w:t>
            </w:r>
            <w:r>
              <w:rPr>
                <w:rFonts w:hint="eastAsia" w:ascii="楷体" w:hAnsi="楷体" w:eastAsia="楷体" w:cs="Arial"/>
                <w:bCs/>
                <w:sz w:val="24"/>
                <w:szCs w:val="24"/>
              </w:rPr>
              <w:t>.</w:t>
            </w:r>
            <w:r>
              <w:rPr>
                <w:rFonts w:hint="eastAsia" w:ascii="楷体" w:hAnsi="楷体" w:eastAsia="楷体" w:cs="Arial"/>
                <w:bCs/>
                <w:sz w:val="24"/>
                <w:szCs w:val="24"/>
                <w:lang w:val="en-US" w:eastAsia="zh-CN"/>
              </w:rPr>
              <w:t>6</w:t>
            </w:r>
            <w:r>
              <w:rPr>
                <w:rFonts w:hint="eastAsia" w:ascii="楷体" w:hAnsi="楷体" w:eastAsia="楷体" w:cs="Arial"/>
                <w:bCs/>
                <w:sz w:val="24"/>
                <w:szCs w:val="24"/>
              </w:rPr>
              <w:t>.</w:t>
            </w:r>
            <w:r>
              <w:rPr>
                <w:rFonts w:hint="eastAsia" w:ascii="楷体" w:hAnsi="楷体" w:eastAsia="楷体" w:cs="Arial"/>
                <w:bCs/>
                <w:sz w:val="24"/>
                <w:szCs w:val="24"/>
                <w:lang w:val="en-US" w:eastAsia="zh-CN"/>
              </w:rPr>
              <w:t>10</w:t>
            </w:r>
            <w:r>
              <w:rPr>
                <w:rFonts w:hint="eastAsia" w:ascii="楷体" w:hAnsi="楷体" w:eastAsia="楷体" w:cs="Arial"/>
                <w:bCs/>
                <w:sz w:val="24"/>
                <w:szCs w:val="24"/>
              </w:rPr>
              <w:t>日，编制：</w:t>
            </w:r>
            <w:r>
              <w:rPr>
                <w:rFonts w:hint="eastAsia" w:ascii="楷体" w:hAnsi="楷体" w:eastAsia="楷体"/>
                <w:sz w:val="24"/>
                <w:szCs w:val="24"/>
                <w:lang w:val="en-US" w:eastAsia="zh-CN"/>
              </w:rPr>
              <w:t>王红</w:t>
            </w:r>
            <w:r>
              <w:rPr>
                <w:rFonts w:hint="eastAsia" w:ascii="楷体" w:hAnsi="楷体" w:eastAsia="楷体" w:cs="Arial"/>
                <w:bCs/>
                <w:sz w:val="24"/>
                <w:szCs w:val="24"/>
              </w:rPr>
              <w:t>，审批：</w:t>
            </w:r>
            <w:r>
              <w:rPr>
                <w:rFonts w:hint="eastAsia" w:ascii="楷体" w:hAnsi="楷体" w:eastAsia="楷体" w:cs="Arial"/>
                <w:bCs/>
                <w:sz w:val="24"/>
                <w:szCs w:val="24"/>
                <w:lang w:val="en-US" w:eastAsia="zh-CN"/>
              </w:rPr>
              <w:t>吕珂玲</w:t>
            </w:r>
            <w:r>
              <w:rPr>
                <w:rFonts w:hint="eastAsia" w:ascii="楷体" w:hAnsi="楷体" w:eastAsia="楷体" w:cs="Arial"/>
                <w:bCs/>
                <w:sz w:val="24"/>
                <w:szCs w:val="24"/>
              </w:rPr>
              <w:t>。</w:t>
            </w:r>
          </w:p>
          <w:p>
            <w:pPr>
              <w:spacing w:line="360" w:lineRule="auto"/>
              <w:rPr>
                <w:rFonts w:hint="eastAsia" w:ascii="楷体" w:hAnsi="楷体" w:eastAsia="楷体" w:cs="Arial"/>
                <w:bCs/>
                <w:sz w:val="24"/>
                <w:szCs w:val="24"/>
              </w:rPr>
            </w:pPr>
            <w:r>
              <w:rPr>
                <w:rFonts w:hint="eastAsia" w:ascii="楷体" w:hAnsi="楷体" w:eastAsia="楷体" w:cs="Arial"/>
                <w:bCs/>
                <w:sz w:val="24"/>
                <w:szCs w:val="24"/>
                <w:lang w:val="en-US" w:eastAsia="zh-CN"/>
              </w:rPr>
              <w:t>1、</w:t>
            </w:r>
            <w:r>
              <w:rPr>
                <w:rFonts w:hint="eastAsia" w:ascii="楷体" w:hAnsi="楷体" w:eastAsia="楷体" w:cs="Arial"/>
                <w:bCs/>
                <w:sz w:val="24"/>
                <w:szCs w:val="24"/>
              </w:rPr>
              <w:t>审核组构成：</w:t>
            </w:r>
            <w:r>
              <w:rPr>
                <w:rFonts w:hint="eastAsia" w:ascii="楷体" w:hAnsi="楷体" w:eastAsia="楷体" w:cs="Arial"/>
                <w:bCs/>
                <w:sz w:val="24"/>
                <w:szCs w:val="24"/>
                <w:lang w:val="en-US" w:eastAsia="zh-CN"/>
              </w:rPr>
              <w:t>组长：</w:t>
            </w:r>
            <w:r>
              <w:rPr>
                <w:rFonts w:hint="eastAsia" w:ascii="楷体" w:hAnsi="楷体" w:eastAsia="楷体"/>
                <w:sz w:val="24"/>
                <w:szCs w:val="24"/>
                <w:lang w:val="en-US" w:eastAsia="zh-CN"/>
              </w:rPr>
              <w:t>王红</w:t>
            </w:r>
            <w:r>
              <w:rPr>
                <w:rFonts w:hint="eastAsia" w:ascii="楷体" w:hAnsi="楷体" w:eastAsia="楷体" w:cs="Arial"/>
                <w:bCs/>
                <w:sz w:val="24"/>
                <w:szCs w:val="24"/>
                <w:lang w:val="en-US" w:eastAsia="zh-CN"/>
              </w:rPr>
              <w:t xml:space="preserve">   内审员： 杨杰、梁微</w:t>
            </w:r>
          </w:p>
          <w:p>
            <w:pPr>
              <w:numPr>
                <w:ilvl w:val="0"/>
                <w:numId w:val="0"/>
              </w:numPr>
              <w:spacing w:line="360" w:lineRule="auto"/>
              <w:ind w:leftChars="0"/>
              <w:rPr>
                <w:rFonts w:ascii="楷体" w:hAnsi="楷体" w:eastAsia="楷体" w:cs="Arial"/>
                <w:bCs/>
                <w:sz w:val="24"/>
                <w:szCs w:val="24"/>
              </w:rPr>
            </w:pPr>
            <w:r>
              <w:rPr>
                <w:rFonts w:hint="eastAsia" w:ascii="楷体" w:hAnsi="楷体" w:eastAsia="楷体" w:cs="Arial"/>
                <w:bCs/>
                <w:sz w:val="24"/>
                <w:szCs w:val="24"/>
                <w:lang w:val="en-US" w:eastAsia="zh-CN"/>
              </w:rPr>
              <w:t>2、</w:t>
            </w:r>
            <w:r>
              <w:rPr>
                <w:rFonts w:hint="eastAsia" w:ascii="楷体" w:hAnsi="楷体" w:eastAsia="楷体" w:cs="Arial"/>
                <w:bCs/>
                <w:sz w:val="24"/>
                <w:szCs w:val="24"/>
              </w:rPr>
              <w:t>审核时间2021.6.21-22日，共</w:t>
            </w:r>
            <w:r>
              <w:rPr>
                <w:rFonts w:hint="eastAsia" w:ascii="楷体" w:hAnsi="楷体" w:eastAsia="楷体" w:cs="Arial"/>
                <w:bCs/>
                <w:sz w:val="24"/>
                <w:szCs w:val="24"/>
                <w:lang w:val="en-US" w:eastAsia="zh-CN"/>
              </w:rPr>
              <w:t>2</w:t>
            </w:r>
            <w:r>
              <w:rPr>
                <w:rFonts w:hint="eastAsia" w:ascii="楷体" w:hAnsi="楷体" w:eastAsia="楷体" w:cs="Arial"/>
                <w:bCs/>
                <w:sz w:val="24"/>
                <w:szCs w:val="24"/>
              </w:rPr>
              <w:t>天。</w:t>
            </w:r>
          </w:p>
          <w:p>
            <w:pPr>
              <w:numPr>
                <w:ilvl w:val="0"/>
                <w:numId w:val="0"/>
              </w:numPr>
              <w:spacing w:line="360" w:lineRule="auto"/>
              <w:ind w:leftChars="0"/>
              <w:rPr>
                <w:rFonts w:ascii="楷体" w:hAnsi="楷体" w:eastAsia="楷体" w:cs="Arial"/>
                <w:bCs/>
                <w:sz w:val="24"/>
                <w:szCs w:val="24"/>
              </w:rPr>
            </w:pPr>
            <w:r>
              <w:rPr>
                <w:rFonts w:hint="eastAsia" w:ascii="楷体" w:hAnsi="楷体" w:eastAsia="楷体" w:cs="Arial"/>
                <w:bCs/>
                <w:sz w:val="24"/>
                <w:szCs w:val="24"/>
                <w:lang w:val="en-US" w:eastAsia="zh-CN"/>
              </w:rPr>
              <w:t>3、</w:t>
            </w:r>
            <w:r>
              <w:rPr>
                <w:rFonts w:hint="eastAsia" w:ascii="楷体" w:hAnsi="楷体" w:eastAsia="楷体" w:cs="Arial"/>
                <w:bCs/>
                <w:sz w:val="24"/>
                <w:szCs w:val="24"/>
              </w:rPr>
              <w:t>审核按计划进行，抽查检查表</w:t>
            </w:r>
            <w:r>
              <w:rPr>
                <w:rFonts w:hint="eastAsia" w:ascii="楷体" w:hAnsi="楷体" w:eastAsia="楷体" w:cs="Arial"/>
                <w:bCs/>
                <w:sz w:val="24"/>
                <w:szCs w:val="24"/>
                <w:lang w:val="en-US" w:eastAsia="zh-CN"/>
              </w:rPr>
              <w:t>综合部</w:t>
            </w:r>
            <w:r>
              <w:rPr>
                <w:rFonts w:hint="eastAsia" w:ascii="楷体" w:hAnsi="楷体" w:eastAsia="楷体" w:cs="Arial"/>
                <w:bCs/>
                <w:sz w:val="24"/>
                <w:szCs w:val="24"/>
              </w:rPr>
              <w:t>、供销部审核记录与计划相一致，2名内审员经内部培训合格，能力还需加强。</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审核计划已考虑到互查的公正性，无审核员审核本部门的工作，计划内容涉及各部门，条款覆盖整个体系。</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本次内审发现</w:t>
            </w:r>
            <w:r>
              <w:rPr>
                <w:rFonts w:hint="eastAsia" w:ascii="楷体" w:hAnsi="楷体" w:eastAsia="楷体" w:cs="Arial"/>
                <w:bCs/>
                <w:sz w:val="24"/>
                <w:szCs w:val="24"/>
                <w:lang w:val="en-US" w:eastAsia="zh-CN"/>
              </w:rPr>
              <w:t>1</w:t>
            </w:r>
            <w:r>
              <w:rPr>
                <w:rFonts w:hint="eastAsia" w:ascii="楷体" w:hAnsi="楷体" w:eastAsia="楷体" w:cs="Arial"/>
                <w:bCs/>
                <w:sz w:val="24"/>
                <w:szCs w:val="24"/>
              </w:rPr>
              <w:t>个一般不符合项，针对这</w:t>
            </w:r>
            <w:r>
              <w:rPr>
                <w:rFonts w:hint="eastAsia" w:ascii="楷体" w:hAnsi="楷体" w:eastAsia="楷体" w:cs="Arial"/>
                <w:bCs/>
                <w:sz w:val="24"/>
                <w:szCs w:val="24"/>
                <w:lang w:val="en-US" w:eastAsia="zh-CN"/>
              </w:rPr>
              <w:t>1</w:t>
            </w:r>
            <w:r>
              <w:rPr>
                <w:rFonts w:hint="eastAsia" w:ascii="楷体" w:hAnsi="楷体" w:eastAsia="楷体" w:cs="Arial"/>
                <w:bCs/>
                <w:sz w:val="24"/>
                <w:szCs w:val="24"/>
              </w:rPr>
              <w:t>个不合格，责任部门已分析了原因并采取了纠正措施，按要求进行了整改，最后内审员进行了验证，纠正措施实施有效。</w:t>
            </w:r>
          </w:p>
          <w:p>
            <w:pPr>
              <w:snapToGrid w:val="0"/>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内部审核结论：提供了《内部审核报告》，对现场审核进行了综述，对环境管理体系进行了符合性的综合评价，最后结论为：公司的环境管理体系基本符合标准要求，运行有效。</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cs="宋体"/>
                <w:sz w:val="24"/>
                <w:szCs w:val="24"/>
              </w:rPr>
              <w:t>不合格和纠正措施</w:t>
            </w:r>
          </w:p>
        </w:tc>
        <w:tc>
          <w:tcPr>
            <w:tcW w:w="1311" w:type="dxa"/>
          </w:tcPr>
          <w:p>
            <w:pPr>
              <w:spacing w:line="360" w:lineRule="auto"/>
              <w:rPr>
                <w:rFonts w:hint="eastAsia" w:ascii="楷体" w:hAnsi="楷体" w:eastAsia="楷体" w:cs="宋体"/>
                <w:sz w:val="24"/>
                <w:szCs w:val="24"/>
              </w:rPr>
            </w:pPr>
          </w:p>
          <w:p>
            <w:pPr>
              <w:spacing w:line="360" w:lineRule="auto"/>
              <w:rPr>
                <w:rFonts w:hint="eastAsia" w:ascii="楷体" w:hAnsi="楷体" w:eastAsia="楷体" w:cs="宋体"/>
                <w:sz w:val="24"/>
                <w:szCs w:val="24"/>
              </w:rPr>
            </w:pPr>
          </w:p>
          <w:p>
            <w:pPr>
              <w:spacing w:line="360" w:lineRule="auto"/>
              <w:rPr>
                <w:rFonts w:ascii="楷体" w:hAnsi="楷体" w:eastAsia="楷体" w:cs="宋体"/>
                <w:sz w:val="24"/>
                <w:szCs w:val="24"/>
              </w:rPr>
            </w:pPr>
            <w:r>
              <w:rPr>
                <w:rFonts w:hint="eastAsia" w:ascii="楷体" w:hAnsi="楷体" w:eastAsia="楷体" w:cs="宋体"/>
                <w:sz w:val="24"/>
                <w:szCs w:val="24"/>
              </w:rPr>
              <w:t>E：10.2</w:t>
            </w:r>
          </w:p>
          <w:p>
            <w:pPr>
              <w:spacing w:line="360" w:lineRule="auto"/>
              <w:rPr>
                <w:rFonts w:ascii="楷体" w:hAnsi="楷体" w:eastAsia="楷体" w:cs="宋体"/>
                <w:sz w:val="24"/>
                <w:szCs w:val="24"/>
              </w:rPr>
            </w:pPr>
          </w:p>
        </w:tc>
        <w:tc>
          <w:tcPr>
            <w:tcW w:w="10004" w:type="dxa"/>
          </w:tcPr>
          <w:p>
            <w:pPr>
              <w:spacing w:line="360" w:lineRule="auto"/>
              <w:rPr>
                <w:rFonts w:ascii="楷体" w:hAnsi="楷体" w:eastAsia="楷体" w:cs="宋体"/>
                <w:sz w:val="24"/>
                <w:szCs w:val="24"/>
              </w:rPr>
            </w:pPr>
            <w:r>
              <w:rPr>
                <w:rFonts w:hint="eastAsia" w:ascii="楷体" w:hAnsi="楷体" w:eastAsia="楷体" w:cs="宋体"/>
                <w:sz w:val="24"/>
                <w:szCs w:val="24"/>
              </w:rPr>
              <w:t xml:space="preserve"> </w:t>
            </w:r>
            <w:r>
              <w:rPr>
                <w:rFonts w:hint="eastAsia" w:ascii="楷体" w:hAnsi="楷体" w:eastAsia="楷体" w:cs="宋体"/>
                <w:sz w:val="24"/>
                <w:szCs w:val="24"/>
                <w:lang w:val="en-US" w:eastAsia="zh-CN"/>
              </w:rPr>
              <w:t xml:space="preserve">  </w:t>
            </w:r>
            <w:r>
              <w:rPr>
                <w:rFonts w:hint="eastAsia" w:ascii="楷体" w:hAnsi="楷体" w:eastAsia="楷体" w:cs="宋体"/>
                <w:sz w:val="24"/>
                <w:szCs w:val="24"/>
              </w:rPr>
              <w:t>对内审中提出不合格项进行了原因分析,并制定、实施了纠正措施，并由内审员对所采取的纠正措施进行了验证，纠正措施有效。</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对管理评审提出的问题定期实施安全培训措施。</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对存在的不符合/不合格，组织评审不符合/不合格，确定不合格的原因，采取措施，以消除不符合/不合格的原因，防止不合格的再发生；对存在潜在的不符合，确定潜在不合格的原因，采取措施，以消除潜在不合格的原因，防止了潜在不合格的发生。</w:t>
            </w:r>
          </w:p>
          <w:p>
            <w:pPr>
              <w:spacing w:line="360" w:lineRule="auto"/>
              <w:ind w:firstLine="480" w:firstLineChars="200"/>
              <w:rPr>
                <w:rFonts w:hint="eastAsia" w:ascii="楷体" w:hAnsi="楷体" w:eastAsia="楷体" w:cs="宋体"/>
                <w:sz w:val="24"/>
                <w:szCs w:val="24"/>
                <w:lang w:eastAsia="zh-CN"/>
              </w:rPr>
            </w:pPr>
            <w:r>
              <w:rPr>
                <w:rFonts w:hint="eastAsia" w:ascii="楷体" w:hAnsi="楷体" w:eastAsia="楷体"/>
                <w:sz w:val="24"/>
                <w:szCs w:val="24"/>
                <w:lang w:val="en-US" w:eastAsia="zh-CN"/>
              </w:rPr>
              <w:t>王红部长</w:t>
            </w:r>
            <w:r>
              <w:rPr>
                <w:rFonts w:hint="eastAsia" w:ascii="楷体" w:hAnsi="楷体" w:eastAsia="楷体" w:cs="宋体"/>
                <w:sz w:val="24"/>
                <w:szCs w:val="24"/>
              </w:rPr>
              <w:t>讲体系运行以来没有发现潜在的不符合，没有发生重大</w:t>
            </w:r>
            <w:r>
              <w:rPr>
                <w:rFonts w:hint="eastAsia" w:ascii="楷体" w:hAnsi="楷体" w:eastAsia="楷体" w:cs="宋体"/>
                <w:sz w:val="24"/>
                <w:szCs w:val="24"/>
                <w:lang w:val="en-US" w:eastAsia="zh-CN"/>
              </w:rPr>
              <w:t>环境</w:t>
            </w:r>
            <w:r>
              <w:rPr>
                <w:rFonts w:hint="eastAsia" w:ascii="楷体" w:hAnsi="楷体" w:eastAsia="楷体" w:cs="宋体"/>
                <w:sz w:val="24"/>
                <w:szCs w:val="24"/>
              </w:rPr>
              <w:t>投诉处罚</w:t>
            </w:r>
            <w:r>
              <w:rPr>
                <w:rFonts w:hint="eastAsia" w:ascii="楷体" w:hAnsi="楷体" w:eastAsia="楷体" w:cs="宋体"/>
                <w:sz w:val="24"/>
                <w:szCs w:val="24"/>
                <w:lang w:eastAsia="zh-CN"/>
              </w:rPr>
              <w:t>。</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 xml:space="preserve">公司纠正和预防措施的管理符合标准规定要求。  </w:t>
            </w:r>
          </w:p>
        </w:tc>
        <w:tc>
          <w:tcPr>
            <w:tcW w:w="1585" w:type="dxa"/>
          </w:tcPr>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3"/>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SimSun-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214B6"/>
    <w:rsid w:val="0002531E"/>
    <w:rsid w:val="0003373A"/>
    <w:rsid w:val="000412F6"/>
    <w:rsid w:val="0005199E"/>
    <w:rsid w:val="0005359F"/>
    <w:rsid w:val="0005697E"/>
    <w:rsid w:val="000579CF"/>
    <w:rsid w:val="00082216"/>
    <w:rsid w:val="00082398"/>
    <w:rsid w:val="000849D2"/>
    <w:rsid w:val="000877AB"/>
    <w:rsid w:val="00093FDD"/>
    <w:rsid w:val="000A5E44"/>
    <w:rsid w:val="000B1394"/>
    <w:rsid w:val="000B40BD"/>
    <w:rsid w:val="000C123B"/>
    <w:rsid w:val="000D5401"/>
    <w:rsid w:val="000D697A"/>
    <w:rsid w:val="000E2B69"/>
    <w:rsid w:val="000E7EF7"/>
    <w:rsid w:val="000F35F1"/>
    <w:rsid w:val="001022F1"/>
    <w:rsid w:val="001037D5"/>
    <w:rsid w:val="001100F4"/>
    <w:rsid w:val="00124A3B"/>
    <w:rsid w:val="00145688"/>
    <w:rsid w:val="00151406"/>
    <w:rsid w:val="00156AF7"/>
    <w:rsid w:val="001677C1"/>
    <w:rsid w:val="00176411"/>
    <w:rsid w:val="00180285"/>
    <w:rsid w:val="00181073"/>
    <w:rsid w:val="001918ED"/>
    <w:rsid w:val="00192A7F"/>
    <w:rsid w:val="001A2D7F"/>
    <w:rsid w:val="001A3DF8"/>
    <w:rsid w:val="001A572D"/>
    <w:rsid w:val="001D4AD8"/>
    <w:rsid w:val="001D54FF"/>
    <w:rsid w:val="001E1974"/>
    <w:rsid w:val="001F581C"/>
    <w:rsid w:val="00202BC2"/>
    <w:rsid w:val="00214113"/>
    <w:rsid w:val="00215081"/>
    <w:rsid w:val="002221D5"/>
    <w:rsid w:val="00222532"/>
    <w:rsid w:val="00233B02"/>
    <w:rsid w:val="00234FA5"/>
    <w:rsid w:val="00237445"/>
    <w:rsid w:val="00260151"/>
    <w:rsid w:val="002651A6"/>
    <w:rsid w:val="0028428D"/>
    <w:rsid w:val="002973F0"/>
    <w:rsid w:val="002975C1"/>
    <w:rsid w:val="002A0E6E"/>
    <w:rsid w:val="002A33CC"/>
    <w:rsid w:val="002B1808"/>
    <w:rsid w:val="002C1ACE"/>
    <w:rsid w:val="002C3E0D"/>
    <w:rsid w:val="002D41FB"/>
    <w:rsid w:val="002E0587"/>
    <w:rsid w:val="002E0FDE"/>
    <w:rsid w:val="002E1E1D"/>
    <w:rsid w:val="00306C8C"/>
    <w:rsid w:val="003224A1"/>
    <w:rsid w:val="00326FC1"/>
    <w:rsid w:val="00337922"/>
    <w:rsid w:val="00340867"/>
    <w:rsid w:val="00342857"/>
    <w:rsid w:val="0034579A"/>
    <w:rsid w:val="003466A4"/>
    <w:rsid w:val="00355BF0"/>
    <w:rsid w:val="003608CB"/>
    <w:rsid w:val="0036159B"/>
    <w:rsid w:val="003627B6"/>
    <w:rsid w:val="003708D5"/>
    <w:rsid w:val="003777AD"/>
    <w:rsid w:val="0038061A"/>
    <w:rsid w:val="0038063B"/>
    <w:rsid w:val="00380837"/>
    <w:rsid w:val="003812DF"/>
    <w:rsid w:val="00382EDD"/>
    <w:rsid w:val="003836CA"/>
    <w:rsid w:val="00385573"/>
    <w:rsid w:val="00386A98"/>
    <w:rsid w:val="00394C7B"/>
    <w:rsid w:val="003A1E9C"/>
    <w:rsid w:val="003A7C94"/>
    <w:rsid w:val="003D0E86"/>
    <w:rsid w:val="003D60E0"/>
    <w:rsid w:val="003D6BE3"/>
    <w:rsid w:val="003E0E52"/>
    <w:rsid w:val="003F20A5"/>
    <w:rsid w:val="00400B96"/>
    <w:rsid w:val="00405D5F"/>
    <w:rsid w:val="00410914"/>
    <w:rsid w:val="00415AA3"/>
    <w:rsid w:val="00420C60"/>
    <w:rsid w:val="00430432"/>
    <w:rsid w:val="00433759"/>
    <w:rsid w:val="0043494E"/>
    <w:rsid w:val="004414A5"/>
    <w:rsid w:val="00456697"/>
    <w:rsid w:val="00465FE1"/>
    <w:rsid w:val="004750FD"/>
    <w:rsid w:val="00475491"/>
    <w:rsid w:val="004869FB"/>
    <w:rsid w:val="00491735"/>
    <w:rsid w:val="00494A46"/>
    <w:rsid w:val="004B217F"/>
    <w:rsid w:val="004B3E7F"/>
    <w:rsid w:val="004C07FE"/>
    <w:rsid w:val="004C3A5F"/>
    <w:rsid w:val="004D3E4C"/>
    <w:rsid w:val="004D4458"/>
    <w:rsid w:val="004E59CF"/>
    <w:rsid w:val="004E5BD5"/>
    <w:rsid w:val="004F185D"/>
    <w:rsid w:val="005056ED"/>
    <w:rsid w:val="00517E4C"/>
    <w:rsid w:val="00521CF0"/>
    <w:rsid w:val="0053208B"/>
    <w:rsid w:val="00534814"/>
    <w:rsid w:val="00536930"/>
    <w:rsid w:val="00560A2A"/>
    <w:rsid w:val="00564E53"/>
    <w:rsid w:val="00583277"/>
    <w:rsid w:val="00592C3E"/>
    <w:rsid w:val="005A000F"/>
    <w:rsid w:val="005B173D"/>
    <w:rsid w:val="005B6888"/>
    <w:rsid w:val="005C0D1F"/>
    <w:rsid w:val="005D0D01"/>
    <w:rsid w:val="005D22A5"/>
    <w:rsid w:val="005F6C65"/>
    <w:rsid w:val="00600F02"/>
    <w:rsid w:val="0060444D"/>
    <w:rsid w:val="006361FB"/>
    <w:rsid w:val="00642776"/>
    <w:rsid w:val="00644FE2"/>
    <w:rsid w:val="00645FB8"/>
    <w:rsid w:val="00651986"/>
    <w:rsid w:val="006545E8"/>
    <w:rsid w:val="00664736"/>
    <w:rsid w:val="00665980"/>
    <w:rsid w:val="0067640C"/>
    <w:rsid w:val="006836D9"/>
    <w:rsid w:val="00695256"/>
    <w:rsid w:val="00695570"/>
    <w:rsid w:val="00696AF1"/>
    <w:rsid w:val="006A3B31"/>
    <w:rsid w:val="006A68F3"/>
    <w:rsid w:val="006B4127"/>
    <w:rsid w:val="006C24BF"/>
    <w:rsid w:val="006C40B9"/>
    <w:rsid w:val="006E407E"/>
    <w:rsid w:val="006E678B"/>
    <w:rsid w:val="0070367F"/>
    <w:rsid w:val="00712F3C"/>
    <w:rsid w:val="00714173"/>
    <w:rsid w:val="0071649B"/>
    <w:rsid w:val="007170AA"/>
    <w:rsid w:val="00732B66"/>
    <w:rsid w:val="00737C8F"/>
    <w:rsid w:val="007406DE"/>
    <w:rsid w:val="00743E79"/>
    <w:rsid w:val="00744BEA"/>
    <w:rsid w:val="00751532"/>
    <w:rsid w:val="00751C37"/>
    <w:rsid w:val="0075769B"/>
    <w:rsid w:val="007757F3"/>
    <w:rsid w:val="007815DC"/>
    <w:rsid w:val="007A47FB"/>
    <w:rsid w:val="007A621C"/>
    <w:rsid w:val="007A637D"/>
    <w:rsid w:val="007B106B"/>
    <w:rsid w:val="007B275D"/>
    <w:rsid w:val="007D25A2"/>
    <w:rsid w:val="007E6AEB"/>
    <w:rsid w:val="007F01EC"/>
    <w:rsid w:val="007F7DF2"/>
    <w:rsid w:val="008079FA"/>
    <w:rsid w:val="00810D58"/>
    <w:rsid w:val="008252FE"/>
    <w:rsid w:val="00832BCD"/>
    <w:rsid w:val="00835B31"/>
    <w:rsid w:val="00841149"/>
    <w:rsid w:val="008646DE"/>
    <w:rsid w:val="00864902"/>
    <w:rsid w:val="00864BE7"/>
    <w:rsid w:val="00865200"/>
    <w:rsid w:val="00871695"/>
    <w:rsid w:val="00891C25"/>
    <w:rsid w:val="008942F3"/>
    <w:rsid w:val="008973EE"/>
    <w:rsid w:val="008D089D"/>
    <w:rsid w:val="008F0B04"/>
    <w:rsid w:val="008F7C55"/>
    <w:rsid w:val="00912EC2"/>
    <w:rsid w:val="00930694"/>
    <w:rsid w:val="0093521F"/>
    <w:rsid w:val="0094313D"/>
    <w:rsid w:val="00945677"/>
    <w:rsid w:val="00955B84"/>
    <w:rsid w:val="00962F78"/>
    <w:rsid w:val="009635D2"/>
    <w:rsid w:val="0096609F"/>
    <w:rsid w:val="009666D5"/>
    <w:rsid w:val="00971600"/>
    <w:rsid w:val="00984342"/>
    <w:rsid w:val="009973B4"/>
    <w:rsid w:val="00997ED5"/>
    <w:rsid w:val="009A1F39"/>
    <w:rsid w:val="009A2CBA"/>
    <w:rsid w:val="009B7EB8"/>
    <w:rsid w:val="009E30DA"/>
    <w:rsid w:val="009E6193"/>
    <w:rsid w:val="009E7DD1"/>
    <w:rsid w:val="009F7EED"/>
    <w:rsid w:val="00A138EC"/>
    <w:rsid w:val="00A16BEC"/>
    <w:rsid w:val="00A207A9"/>
    <w:rsid w:val="00A41ECE"/>
    <w:rsid w:val="00A74274"/>
    <w:rsid w:val="00A801DE"/>
    <w:rsid w:val="00A90A22"/>
    <w:rsid w:val="00A971DB"/>
    <w:rsid w:val="00A97734"/>
    <w:rsid w:val="00AA5AAA"/>
    <w:rsid w:val="00AA7F40"/>
    <w:rsid w:val="00AB41FC"/>
    <w:rsid w:val="00AB7D2F"/>
    <w:rsid w:val="00AD1550"/>
    <w:rsid w:val="00AD1604"/>
    <w:rsid w:val="00AD6F34"/>
    <w:rsid w:val="00AF0AAB"/>
    <w:rsid w:val="00AF616B"/>
    <w:rsid w:val="00B01BD1"/>
    <w:rsid w:val="00B0458E"/>
    <w:rsid w:val="00B0685B"/>
    <w:rsid w:val="00B17BD9"/>
    <w:rsid w:val="00B23030"/>
    <w:rsid w:val="00B237B9"/>
    <w:rsid w:val="00B23CAA"/>
    <w:rsid w:val="00B31564"/>
    <w:rsid w:val="00B410EE"/>
    <w:rsid w:val="00B8202D"/>
    <w:rsid w:val="00B929FD"/>
    <w:rsid w:val="00B94D34"/>
    <w:rsid w:val="00B95B99"/>
    <w:rsid w:val="00B95F69"/>
    <w:rsid w:val="00BC2015"/>
    <w:rsid w:val="00BC5975"/>
    <w:rsid w:val="00BC71B0"/>
    <w:rsid w:val="00BD6B80"/>
    <w:rsid w:val="00BD6CAC"/>
    <w:rsid w:val="00BF597E"/>
    <w:rsid w:val="00C03098"/>
    <w:rsid w:val="00C14685"/>
    <w:rsid w:val="00C17048"/>
    <w:rsid w:val="00C31C73"/>
    <w:rsid w:val="00C43C47"/>
    <w:rsid w:val="00C51A36"/>
    <w:rsid w:val="00C52C62"/>
    <w:rsid w:val="00C548BE"/>
    <w:rsid w:val="00C55228"/>
    <w:rsid w:val="00C67E19"/>
    <w:rsid w:val="00C67E47"/>
    <w:rsid w:val="00C71E85"/>
    <w:rsid w:val="00C80D44"/>
    <w:rsid w:val="00C86F9B"/>
    <w:rsid w:val="00C87FEE"/>
    <w:rsid w:val="00C920A9"/>
    <w:rsid w:val="00CB0B65"/>
    <w:rsid w:val="00CB260B"/>
    <w:rsid w:val="00CC3579"/>
    <w:rsid w:val="00CE2A9E"/>
    <w:rsid w:val="00CE315A"/>
    <w:rsid w:val="00CE7BE1"/>
    <w:rsid w:val="00CF147A"/>
    <w:rsid w:val="00CF1726"/>
    <w:rsid w:val="00CF5BEE"/>
    <w:rsid w:val="00CF6C5C"/>
    <w:rsid w:val="00D06F59"/>
    <w:rsid w:val="00D32C89"/>
    <w:rsid w:val="00D3392D"/>
    <w:rsid w:val="00D429D7"/>
    <w:rsid w:val="00D55E69"/>
    <w:rsid w:val="00D562F6"/>
    <w:rsid w:val="00D6092B"/>
    <w:rsid w:val="00D8388C"/>
    <w:rsid w:val="00D93BCF"/>
    <w:rsid w:val="00D93CE5"/>
    <w:rsid w:val="00DA0605"/>
    <w:rsid w:val="00DA0DF0"/>
    <w:rsid w:val="00DA15B3"/>
    <w:rsid w:val="00DB30A0"/>
    <w:rsid w:val="00DB3A7B"/>
    <w:rsid w:val="00DB49C7"/>
    <w:rsid w:val="00DB7048"/>
    <w:rsid w:val="00DC5D24"/>
    <w:rsid w:val="00DD3D68"/>
    <w:rsid w:val="00DE053D"/>
    <w:rsid w:val="00DE146D"/>
    <w:rsid w:val="00DE2D80"/>
    <w:rsid w:val="00DE6FCE"/>
    <w:rsid w:val="00DF4E02"/>
    <w:rsid w:val="00DF76DB"/>
    <w:rsid w:val="00E038E4"/>
    <w:rsid w:val="00E13D9A"/>
    <w:rsid w:val="00E15335"/>
    <w:rsid w:val="00E2412D"/>
    <w:rsid w:val="00E32D13"/>
    <w:rsid w:val="00E43822"/>
    <w:rsid w:val="00E43B4F"/>
    <w:rsid w:val="00E54035"/>
    <w:rsid w:val="00E62996"/>
    <w:rsid w:val="00E63714"/>
    <w:rsid w:val="00E64A51"/>
    <w:rsid w:val="00E910C0"/>
    <w:rsid w:val="00E97424"/>
    <w:rsid w:val="00EA105E"/>
    <w:rsid w:val="00EA55F7"/>
    <w:rsid w:val="00EB0164"/>
    <w:rsid w:val="00EB65F7"/>
    <w:rsid w:val="00EC42F5"/>
    <w:rsid w:val="00ED0F62"/>
    <w:rsid w:val="00EE31A4"/>
    <w:rsid w:val="00EE4E99"/>
    <w:rsid w:val="00EF36E7"/>
    <w:rsid w:val="00F06D09"/>
    <w:rsid w:val="00F11201"/>
    <w:rsid w:val="00F120D0"/>
    <w:rsid w:val="00F14D99"/>
    <w:rsid w:val="00F32CB9"/>
    <w:rsid w:val="00F33729"/>
    <w:rsid w:val="00F35CD7"/>
    <w:rsid w:val="00F57725"/>
    <w:rsid w:val="00F606E1"/>
    <w:rsid w:val="00F6739D"/>
    <w:rsid w:val="00F83639"/>
    <w:rsid w:val="00F840C3"/>
    <w:rsid w:val="00F856F5"/>
    <w:rsid w:val="00F93F58"/>
    <w:rsid w:val="00F956F5"/>
    <w:rsid w:val="00FA0833"/>
    <w:rsid w:val="00FA350D"/>
    <w:rsid w:val="00FB03C3"/>
    <w:rsid w:val="00FB5A65"/>
    <w:rsid w:val="00FD2869"/>
    <w:rsid w:val="00FD5EE5"/>
    <w:rsid w:val="00FD72A6"/>
    <w:rsid w:val="00FE09C9"/>
    <w:rsid w:val="108219C2"/>
    <w:rsid w:val="11F56867"/>
    <w:rsid w:val="257C48A9"/>
    <w:rsid w:val="2C5367B7"/>
    <w:rsid w:val="37A42172"/>
    <w:rsid w:val="3C460EFF"/>
    <w:rsid w:val="3EC84F88"/>
    <w:rsid w:val="5EA12B9A"/>
    <w:rsid w:val="7AAF1245"/>
    <w:rsid w:val="7E487CDD"/>
    <w:rsid w:val="7F4F12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character" w:customStyle="1" w:styleId="11">
    <w:name w:val="fontstyle01"/>
    <w:basedOn w:val="6"/>
    <w:qFormat/>
    <w:uiPriority w:val="0"/>
    <w:rPr>
      <w:rFonts w:hint="eastAsia" w:ascii="宋体" w:hAnsi="宋体" w:eastAsia="宋体"/>
      <w:color w:val="000000"/>
      <w:sz w:val="24"/>
      <w:szCs w:val="24"/>
    </w:rPr>
  </w:style>
  <w:style w:type="character" w:customStyle="1" w:styleId="12">
    <w:name w:val="fontstyle21"/>
    <w:basedOn w:val="6"/>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1042</Words>
  <Characters>5945</Characters>
  <Lines>49</Lines>
  <Paragraphs>13</Paragraphs>
  <TotalTime>1</TotalTime>
  <ScaleCrop>false</ScaleCrop>
  <LinksUpToDate>false</LinksUpToDate>
  <CharactersWithSpaces>6974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2021-08-05T05:54:26Z</dcterms:modified>
  <cp:revision>455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BB621BD0F3B143E4A4F8193FD4DB2621</vt:lpwstr>
  </property>
</Properties>
</file>