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-936625</wp:posOffset>
            </wp:positionV>
            <wp:extent cx="7195820" cy="10153650"/>
            <wp:effectExtent l="0" t="0" r="5080" b="6350"/>
            <wp:wrapNone/>
            <wp:docPr id="2" name="图片 2" descr="aedb3d7496a4277f53379b8c3125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db3d7496a4277f53379b8c31253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19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西安标准精密机械有限公司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陕西省西安市雁塔区科技六路1号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2" w:name="联系人"/>
            <w:r>
              <w:rPr>
                <w:sz w:val="20"/>
              </w:rPr>
              <w:t>赵晓春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18691886819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lkl@jnmi. cn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0297-2019-E-2021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汽车用铝合金零部件的销售及相关环境管理活动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29.03.01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2021年08月05日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2021年08月05日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480" w:lineRule="auto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审核日程安排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总则、7.4信息交流（7.4.1总则、7.4.2内部信息、7.4.3外部信息交流）、9.3管理评审、10.1改进、10.3持续改进，</w:t>
            </w:r>
          </w:p>
          <w:p>
            <w:pPr>
              <w:widowControl/>
              <w:spacing w:line="360" w:lineRule="auto"/>
              <w:ind w:right="-1721" w:rightChars="-717"/>
              <w:jc w:val="both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宋体" w:hAnsi="宋体" w:cs="Arial"/>
                <w:sz w:val="21"/>
                <w:szCs w:val="21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Arial"/>
                <w:sz w:val="21"/>
                <w:szCs w:val="21"/>
              </w:rPr>
              <w:t>问题验证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Arial"/>
                <w:b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  <w:t>(含财务)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EMS: 5.3组织的岗位、职责和权限、6.1.2环境因素、6.1.3合规义务、6.2.1环境目标、6.2.2实现环境目标措施的策划、、7.2能力、7.3意识、7.5.形成文件的信息、8.1运行策划和控制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8.2应急准备和响应、9.1监视、测量、分析和评价（9.1.1总则、9.1.2合规性评价）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9.2 内部审核、10.2不合格和纠正措施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补充及跟踪审核：必要部门、必要条款；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审核组与受审核方领导层沟通；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1D73C4"/>
    <w:rsid w:val="3E900B1D"/>
    <w:rsid w:val="50A44909"/>
    <w:rsid w:val="50DF6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15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2021-08-06T14:58:34Z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8B12E9D714234465957880DC2D406F28</vt:lpwstr>
  </property>
</Properties>
</file>