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ascii="宋体" w:hAnsi="宋体" w:cs="Arial"/>
                <w:szCs w:val="21"/>
              </w:rPr>
              <w:t>保安部</w:t>
            </w:r>
            <w:r>
              <w:rPr>
                <w:rFonts w:hint="eastAsia"/>
                <w:sz w:val="24"/>
                <w:szCs w:val="24"/>
              </w:rPr>
              <w:t xml:space="preserve"> 主管领导：</w:t>
            </w:r>
            <w:r>
              <w:rPr>
                <w:rFonts w:hint="eastAsia" w:ascii="宋体" w:hAnsi="宋体" w:cs="Arial"/>
                <w:szCs w:val="21"/>
                <w:lang w:val="en-US" w:eastAsia="zh-CN"/>
              </w:rPr>
              <w:t xml:space="preserve">高为为 </w:t>
            </w:r>
            <w:r>
              <w:rPr>
                <w:rFonts w:ascii="宋体" w:hAnsi="宋体" w:cs="Arial"/>
                <w:szCs w:val="21"/>
              </w:rPr>
              <w:t xml:space="preserve"> </w:t>
            </w:r>
            <w:r>
              <w:rPr>
                <w:rFonts w:hint="eastAsia"/>
                <w:sz w:val="24"/>
                <w:szCs w:val="24"/>
              </w:rPr>
              <w:t>陪同人员：</w:t>
            </w:r>
            <w:r>
              <w:rPr>
                <w:rFonts w:hint="eastAsia"/>
                <w:sz w:val="24"/>
                <w:szCs w:val="24"/>
                <w:lang w:val="en-US" w:eastAsia="zh-CN"/>
              </w:rPr>
              <w:t>彭敏</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ascii="宋体" w:hAnsi="宋体" w:cs="Arial"/>
                <w:szCs w:val="21"/>
                <w:lang w:val="en-US" w:eastAsia="zh-CN"/>
              </w:rPr>
              <w:t>林兵 石帆  应红艳</w:t>
            </w:r>
            <w:r>
              <w:rPr>
                <w:rFonts w:hint="eastAsia" w:ascii="宋体" w:hAnsi="宋体" w:cs="Arial"/>
                <w:szCs w:val="21"/>
              </w:rPr>
              <w:t xml:space="preserve"> </w:t>
            </w:r>
            <w:r>
              <w:rPr>
                <w:sz w:val="18"/>
                <w:szCs w:val="18"/>
              </w:rPr>
              <w:t xml:space="preserve"> </w:t>
            </w:r>
            <w:r>
              <w:rPr>
                <w:rFonts w:hint="eastAsia"/>
                <w:sz w:val="24"/>
                <w:szCs w:val="24"/>
              </w:rPr>
              <w:t>审核时间：</w:t>
            </w:r>
            <w:r>
              <w:rPr>
                <w:rFonts w:hint="eastAsia" w:ascii="宋体" w:hAnsi="宋体" w:cs="Arial"/>
                <w:szCs w:val="21"/>
              </w:rPr>
              <w:t>202</w:t>
            </w:r>
            <w:r>
              <w:rPr>
                <w:rFonts w:hint="eastAsia" w:ascii="宋体" w:hAnsi="宋体" w:cs="Arial"/>
                <w:szCs w:val="21"/>
                <w:lang w:val="en-US" w:eastAsia="zh-CN"/>
              </w:rPr>
              <w:t>1</w:t>
            </w:r>
            <w:r>
              <w:rPr>
                <w:rFonts w:hint="eastAsia" w:ascii="宋体" w:hAnsi="宋体" w:cs="Arial"/>
                <w:szCs w:val="21"/>
              </w:rPr>
              <w:t>年</w:t>
            </w:r>
            <w:r>
              <w:rPr>
                <w:rFonts w:hint="eastAsia" w:ascii="宋体" w:hAnsi="宋体" w:cs="Arial"/>
                <w:szCs w:val="21"/>
                <w:lang w:val="en-US" w:eastAsia="zh-CN"/>
              </w:rPr>
              <w:t>8</w:t>
            </w:r>
            <w:r>
              <w:rPr>
                <w:rFonts w:hint="eastAsia" w:ascii="宋体" w:hAnsi="宋体" w:cs="Arial"/>
                <w:szCs w:val="21"/>
              </w:rPr>
              <w:t>月</w:t>
            </w:r>
            <w:r>
              <w:rPr>
                <w:rFonts w:hint="eastAsia" w:ascii="宋体" w:hAnsi="宋体" w:cs="Arial"/>
                <w:szCs w:val="21"/>
                <w:lang w:val="en-US" w:eastAsia="zh-CN"/>
              </w:rPr>
              <w:t>9</w:t>
            </w:r>
            <w:r>
              <w:rPr>
                <w:rFonts w:hint="eastAsia" w:ascii="宋体" w:hAnsi="宋体" w:cs="Arial"/>
                <w:szCs w:val="21"/>
              </w:rPr>
              <w:t>日</w:t>
            </w:r>
            <w:r>
              <w:rPr>
                <w:rFonts w:hint="eastAsia" w:ascii="宋体" w:hAnsi="宋体" w:cs="Arial"/>
                <w:szCs w:val="21"/>
                <w:lang w:val="en-US" w:eastAsia="zh-CN"/>
              </w:rPr>
              <w:t>下午</w:t>
            </w:r>
            <w:r>
              <w:rPr>
                <w:rFonts w:hint="eastAsia" w:ascii="宋体" w:hAnsi="宋体" w:cs="Arial"/>
                <w:szCs w:val="21"/>
              </w:rPr>
              <w:t>-</w:t>
            </w:r>
            <w:r>
              <w:rPr>
                <w:rFonts w:hint="eastAsia" w:ascii="宋体" w:hAnsi="宋体" w:cs="Arial"/>
                <w:szCs w:val="21"/>
                <w:lang w:val="en-US" w:eastAsia="zh-CN"/>
              </w:rPr>
              <w:t>11</w:t>
            </w:r>
            <w:r>
              <w:rPr>
                <w:rFonts w:hint="eastAsia" w:ascii="宋体" w:hAnsi="宋体" w:cs="Arial"/>
                <w:szCs w:val="21"/>
              </w:rPr>
              <w:t>日</w:t>
            </w:r>
            <w:r>
              <w:rPr>
                <w:rFonts w:hint="eastAsia" w:ascii="宋体" w:hAnsi="宋体" w:cs="Arial"/>
                <w:szCs w:val="21"/>
                <w:lang w:val="en-US" w:eastAsia="zh-CN"/>
              </w:rPr>
              <w:t>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ascii="宋体" w:hAnsi="宋体" w:cs="Arial"/>
                <w:szCs w:val="21"/>
              </w:rPr>
              <w:t>Q:5.3/6.2/7.1.3</w:t>
            </w:r>
            <w:r>
              <w:rPr>
                <w:rFonts w:hint="eastAsia" w:ascii="宋体" w:hAnsi="宋体" w:cs="Arial"/>
                <w:szCs w:val="21"/>
              </w:rPr>
              <w:t>/</w:t>
            </w:r>
            <w:r>
              <w:rPr>
                <w:rFonts w:ascii="宋体" w:hAnsi="宋体" w:cs="Arial"/>
                <w:szCs w:val="21"/>
              </w:rPr>
              <w:t>7.1.4/7.1.5</w:t>
            </w:r>
            <w:r>
              <w:rPr>
                <w:rFonts w:hint="eastAsia" w:ascii="宋体" w:hAnsi="宋体" w:cs="Arial"/>
                <w:szCs w:val="21"/>
              </w:rPr>
              <w:t>/</w:t>
            </w:r>
            <w:r>
              <w:rPr>
                <w:rFonts w:ascii="宋体" w:hAnsi="宋体" w:cs="Arial"/>
                <w:szCs w:val="21"/>
              </w:rPr>
              <w:t>7.4/8.1/8.3/8.5.1</w:t>
            </w:r>
            <w:r>
              <w:rPr>
                <w:rFonts w:hint="eastAsia" w:ascii="宋体" w:hAnsi="宋体" w:cs="Arial"/>
                <w:szCs w:val="21"/>
              </w:rPr>
              <w:t>-</w:t>
            </w:r>
            <w:r>
              <w:rPr>
                <w:rFonts w:ascii="宋体" w:hAnsi="宋体" w:cs="Arial"/>
                <w:szCs w:val="21"/>
              </w:rPr>
              <w:t>8.5.4/8.6/8.7</w:t>
            </w:r>
            <w:r>
              <w:rPr>
                <w:sz w:val="24"/>
                <w:szCs w:val="24"/>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Arial"/>
                <w:szCs w:val="21"/>
              </w:rPr>
              <w:t>组织的岗位、职责和权限</w:t>
            </w:r>
          </w:p>
        </w:tc>
        <w:tc>
          <w:tcPr>
            <w:tcW w:w="960" w:type="dxa"/>
          </w:tcPr>
          <w:p>
            <w:r>
              <w:rPr>
                <w:rFonts w:ascii="宋体" w:hAnsi="宋体" w:cs="Arial"/>
                <w:szCs w:val="21"/>
              </w:rPr>
              <w:t>Q</w:t>
            </w:r>
            <w:r>
              <w:rPr>
                <w:rFonts w:hint="eastAsia" w:ascii="宋体" w:hAnsi="宋体" w:cs="Arial"/>
                <w:szCs w:val="21"/>
                <w:lang w:val="en-US" w:eastAsia="zh-CN"/>
              </w:rPr>
              <w:t>EO</w:t>
            </w:r>
            <w:r>
              <w:rPr>
                <w:rFonts w:ascii="宋体" w:hAnsi="宋体" w:cs="Arial"/>
                <w:szCs w:val="21"/>
              </w:rPr>
              <w:t>:5.3</w:t>
            </w:r>
            <w:r>
              <w:t xml:space="preserve"> </w:t>
            </w:r>
          </w:p>
        </w:tc>
        <w:tc>
          <w:tcPr>
            <w:tcW w:w="10004" w:type="dxa"/>
          </w:tcPr>
          <w:p>
            <w:pPr>
              <w:spacing w:line="280" w:lineRule="exact"/>
              <w:ind w:firstLine="420"/>
              <w:rPr>
                <w:color w:val="000000"/>
                <w:szCs w:val="21"/>
              </w:rPr>
            </w:pPr>
            <w:r>
              <w:rPr>
                <w:rFonts w:hint="eastAsia"/>
                <w:color w:val="000000"/>
                <w:szCs w:val="21"/>
              </w:rPr>
              <w:t>本公司提供的产品主要为</w:t>
            </w:r>
            <w:r>
              <w:rPr>
                <w:color w:val="000000"/>
                <w:szCs w:val="21"/>
              </w:rPr>
              <w:t>保安服务</w:t>
            </w:r>
            <w:r>
              <w:rPr>
                <w:rFonts w:hint="eastAsia"/>
                <w:color w:val="000000"/>
                <w:szCs w:val="21"/>
                <w:lang w:eastAsia="zh-CN"/>
              </w:rPr>
              <w:t>（门卫、巡逻、随身护卫、安全检查）</w:t>
            </w:r>
            <w:r>
              <w:rPr>
                <w:color w:val="000000"/>
                <w:szCs w:val="21"/>
              </w:rPr>
              <w:t>及相关活动</w:t>
            </w:r>
            <w:r>
              <w:rPr>
                <w:rFonts w:hint="eastAsia"/>
                <w:color w:val="000000"/>
                <w:szCs w:val="21"/>
              </w:rPr>
              <w:t>。本部门主要负责保安服务实现的策划、设计开发过程；负责保安服务具体提供、控制、放行及售后、技术方案提供及相关质量管理活动的实施与执行。</w:t>
            </w:r>
          </w:p>
          <w:p>
            <w:pPr>
              <w:spacing w:line="280" w:lineRule="exact"/>
              <w:ind w:firstLine="420"/>
              <w:rPr>
                <w:color w:val="000000"/>
                <w:szCs w:val="21"/>
              </w:rPr>
            </w:pPr>
            <w:r>
              <w:rPr>
                <w:rFonts w:hint="eastAsia"/>
                <w:color w:val="000000"/>
                <w:szCs w:val="21"/>
              </w:rPr>
              <w:t>与保安部负责人沟通，描述的职责和权限与质量管理体系的职能分配表基本一致。</w:t>
            </w:r>
          </w:p>
          <w:p>
            <w:pPr>
              <w:spacing w:line="280" w:lineRule="exact"/>
              <w:ind w:firstLine="420"/>
              <w:rPr>
                <w:b/>
                <w:color w:val="000000"/>
                <w:szCs w:val="21"/>
              </w:rPr>
            </w:pPr>
            <w:r>
              <w:rPr>
                <w:rFonts w:hint="eastAsia"/>
                <w:color w:val="000000"/>
                <w:szCs w:val="21"/>
              </w:rPr>
              <w:t>有办公桌、电脑、空调以及安保用品等能满足部门体系运行需求。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ascii="宋体" w:hAnsi="宋体" w:cs="Arial"/>
                <w:szCs w:val="21"/>
                <w:lang w:val="en-US" w:eastAsia="zh-CN"/>
              </w:rPr>
              <w:t>管理</w:t>
            </w:r>
            <w:r>
              <w:rPr>
                <w:rFonts w:hint="eastAsia" w:ascii="宋体" w:hAnsi="宋体" w:cs="Arial"/>
                <w:szCs w:val="21"/>
              </w:rPr>
              <w:t>目标</w:t>
            </w:r>
          </w:p>
        </w:tc>
        <w:tc>
          <w:tcPr>
            <w:tcW w:w="960" w:type="dxa"/>
          </w:tcPr>
          <w:p>
            <w:r>
              <w:rPr>
                <w:rFonts w:ascii="宋体" w:hAnsi="宋体" w:cs="Arial"/>
                <w:szCs w:val="21"/>
              </w:rPr>
              <w:t>Q</w:t>
            </w:r>
            <w:r>
              <w:rPr>
                <w:rFonts w:hint="eastAsia" w:ascii="宋体" w:hAnsi="宋体" w:cs="Arial"/>
                <w:szCs w:val="21"/>
                <w:lang w:val="en-US" w:eastAsia="zh-CN"/>
              </w:rPr>
              <w:t>EO</w:t>
            </w:r>
            <w:r>
              <w:rPr>
                <w:rFonts w:ascii="宋体" w:hAnsi="宋体" w:cs="Arial"/>
                <w:szCs w:val="21"/>
              </w:rPr>
              <w:t>:6.2</w:t>
            </w:r>
          </w:p>
        </w:tc>
        <w:tc>
          <w:tcPr>
            <w:tcW w:w="10004" w:type="dxa"/>
          </w:tcPr>
          <w:p>
            <w:pPr>
              <w:snapToGrid w:val="0"/>
              <w:ind w:firstLine="420" w:firstLineChars="200"/>
              <w:rPr>
                <w:color w:val="000000"/>
                <w:szCs w:val="21"/>
              </w:rPr>
            </w:pPr>
            <w:r>
              <w:rPr>
                <w:rFonts w:hint="eastAsia"/>
                <w:color w:val="000000"/>
                <w:szCs w:val="21"/>
              </w:rPr>
              <w:t>涉及保安部的质量管理目标及完成情况：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1"/>
              <w:gridCol w:w="411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370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000000"/>
                      <w:sz w:val="18"/>
                      <w:szCs w:val="18"/>
                    </w:rPr>
                  </w:pPr>
                  <w:r>
                    <w:rPr>
                      <w:rFonts w:hint="eastAsia" w:ascii="宋体" w:hAnsi="宋体" w:eastAsia="宋体" w:cs="宋体"/>
                      <w:bCs/>
                      <w:color w:val="000000"/>
                      <w:sz w:val="18"/>
                      <w:szCs w:val="18"/>
                    </w:rPr>
                    <w:t>1.消防设备检查率100%</w:t>
                  </w:r>
                </w:p>
              </w:tc>
              <w:tc>
                <w:tcPr>
                  <w:tcW w:w="4111" w:type="dxa"/>
                  <w:tcBorders>
                    <w:top w:val="single" w:color="auto" w:sz="4" w:space="0"/>
                    <w:left w:val="single" w:color="auto" w:sz="4" w:space="0"/>
                    <w:bottom w:val="single" w:color="auto" w:sz="4" w:space="0"/>
                    <w:right w:val="single" w:color="auto" w:sz="4" w:space="0"/>
                  </w:tcBorders>
                  <w:vAlign w:val="center"/>
                </w:tcPr>
                <w:p>
                  <w:pPr>
                    <w:pStyle w:val="2"/>
                    <w:spacing w:before="60" w:beforeLines="15" w:after="60" w:afterLines="15" w:line="0" w:lineRule="atLeast"/>
                    <w:ind w:left="0" w:leftChars="0"/>
                    <w:rPr>
                      <w:rFonts w:hint="eastAsia" w:ascii="宋体" w:hAnsi="宋体" w:eastAsia="宋体" w:cs="宋体"/>
                      <w:bCs/>
                      <w:color w:val="000000"/>
                      <w:sz w:val="18"/>
                      <w:szCs w:val="18"/>
                    </w:rPr>
                  </w:pPr>
                  <w:r>
                    <w:rPr>
                      <w:rFonts w:hint="eastAsia" w:ascii="宋体" w:hAnsi="宋体" w:eastAsia="宋体" w:cs="宋体"/>
                      <w:bCs/>
                      <w:color w:val="000000"/>
                      <w:sz w:val="18"/>
                      <w:szCs w:val="18"/>
                    </w:rPr>
                    <w:t>检查率=检查数量÷设备总数量X100</w:t>
                  </w:r>
                  <w:r>
                    <w:rPr>
                      <w:rFonts w:hint="eastAsia" w:ascii="宋体" w:hAnsi="宋体" w:eastAsia="宋体" w:cs="宋体"/>
                      <w:bCs/>
                      <w:color w:val="000000"/>
                      <w:sz w:val="18"/>
                      <w:szCs w:val="18"/>
                    </w:rPr>
                    <w:tab/>
                  </w:r>
                </w:p>
              </w:tc>
              <w:tc>
                <w:tcPr>
                  <w:tcW w:w="1559" w:type="dxa"/>
                  <w:tcBorders>
                    <w:top w:val="single" w:color="auto" w:sz="4" w:space="0"/>
                    <w:left w:val="single" w:color="auto" w:sz="4" w:space="0"/>
                    <w:bottom w:val="single" w:color="auto" w:sz="4" w:space="0"/>
                    <w:right w:val="single" w:color="auto" w:sz="4" w:space="0"/>
                  </w:tcBorders>
                  <w:vAlign w:val="center"/>
                </w:tcPr>
                <w:p>
                  <w:pPr>
                    <w:pStyle w:val="2"/>
                    <w:spacing w:before="60" w:beforeLines="15" w:after="60" w:afterLines="15" w:line="0" w:lineRule="atLeast"/>
                    <w:ind w:left="0" w:leftChars="0"/>
                    <w:rPr>
                      <w:rFonts w:hint="eastAsia" w:ascii="宋体" w:hAnsi="宋体" w:eastAsia="宋体" w:cs="宋体"/>
                      <w:bCs/>
                      <w:color w:val="000000"/>
                      <w:sz w:val="18"/>
                      <w:szCs w:val="18"/>
                    </w:rPr>
                  </w:pPr>
                  <w:r>
                    <w:rPr>
                      <w:rFonts w:hint="eastAsia" w:ascii="宋体" w:hAnsi="宋体" w:eastAsia="宋体" w:cs="宋体"/>
                      <w:bCs/>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370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000000"/>
                      <w:sz w:val="18"/>
                      <w:szCs w:val="18"/>
                    </w:rPr>
                  </w:pPr>
                  <w:r>
                    <w:rPr>
                      <w:rFonts w:hint="eastAsia" w:ascii="宋体" w:hAnsi="宋体" w:eastAsia="宋体" w:cs="宋体"/>
                      <w:bCs/>
                      <w:color w:val="000000"/>
                      <w:sz w:val="18"/>
                      <w:szCs w:val="18"/>
                    </w:rPr>
                    <w:t>2.应急演习执行率100%</w:t>
                  </w:r>
                </w:p>
              </w:tc>
              <w:tc>
                <w:tcPr>
                  <w:tcW w:w="4111" w:type="dxa"/>
                  <w:tcBorders>
                    <w:top w:val="single" w:color="auto" w:sz="4" w:space="0"/>
                    <w:left w:val="single" w:color="auto" w:sz="4" w:space="0"/>
                    <w:bottom w:val="single" w:color="auto" w:sz="4" w:space="0"/>
                    <w:right w:val="single" w:color="auto" w:sz="4" w:space="0"/>
                  </w:tcBorders>
                  <w:vAlign w:val="center"/>
                </w:tcPr>
                <w:p>
                  <w:pPr>
                    <w:pStyle w:val="2"/>
                    <w:spacing w:before="60" w:beforeLines="15" w:after="60" w:afterLines="15" w:line="0" w:lineRule="atLeast"/>
                    <w:ind w:left="0" w:leftChars="0"/>
                    <w:rPr>
                      <w:rFonts w:hint="eastAsia" w:ascii="宋体" w:hAnsi="宋体" w:eastAsia="宋体" w:cs="宋体"/>
                      <w:bCs/>
                      <w:color w:val="000000"/>
                      <w:sz w:val="18"/>
                      <w:szCs w:val="18"/>
                    </w:rPr>
                  </w:pPr>
                  <w:r>
                    <w:rPr>
                      <w:rFonts w:hint="eastAsia" w:ascii="宋体" w:hAnsi="宋体" w:eastAsia="宋体" w:cs="宋体"/>
                      <w:bCs/>
                      <w:color w:val="000000"/>
                      <w:sz w:val="18"/>
                      <w:szCs w:val="18"/>
                    </w:rPr>
                    <w:t>演习执行率=演习实际次数÷演习计划次数X100</w:t>
                  </w:r>
                </w:p>
              </w:tc>
              <w:tc>
                <w:tcPr>
                  <w:tcW w:w="1559" w:type="dxa"/>
                  <w:tcBorders>
                    <w:top w:val="single" w:color="auto" w:sz="4" w:space="0"/>
                    <w:left w:val="single" w:color="auto" w:sz="4" w:space="0"/>
                    <w:bottom w:val="single" w:color="auto" w:sz="4" w:space="0"/>
                    <w:right w:val="single" w:color="auto" w:sz="4" w:space="0"/>
                  </w:tcBorders>
                  <w:vAlign w:val="center"/>
                </w:tcPr>
                <w:p>
                  <w:pPr>
                    <w:pStyle w:val="2"/>
                    <w:spacing w:before="60" w:beforeLines="15" w:after="60" w:afterLines="15" w:line="0" w:lineRule="atLeast"/>
                    <w:ind w:left="0" w:leftChars="0"/>
                    <w:rPr>
                      <w:rFonts w:hint="eastAsia" w:ascii="宋体" w:hAnsi="宋体" w:eastAsia="宋体" w:cs="宋体"/>
                      <w:bCs/>
                      <w:color w:val="000000"/>
                      <w:sz w:val="18"/>
                      <w:szCs w:val="18"/>
                    </w:rPr>
                  </w:pPr>
                  <w:r>
                    <w:rPr>
                      <w:rFonts w:hint="eastAsia" w:ascii="宋体" w:hAnsi="宋体" w:eastAsia="宋体" w:cs="宋体"/>
                      <w:bCs/>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370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000000"/>
                      <w:sz w:val="18"/>
                      <w:szCs w:val="18"/>
                    </w:rPr>
                  </w:pPr>
                  <w:r>
                    <w:rPr>
                      <w:rFonts w:hint="eastAsia" w:ascii="宋体" w:hAnsi="宋体" w:eastAsia="宋体" w:cs="宋体"/>
                      <w:bCs/>
                      <w:color w:val="000000"/>
                      <w:sz w:val="18"/>
                      <w:szCs w:val="18"/>
                    </w:rPr>
                    <w:t>3.重大危险伤害事故≤1起</w:t>
                  </w:r>
                </w:p>
              </w:tc>
              <w:tc>
                <w:tcPr>
                  <w:tcW w:w="4111" w:type="dxa"/>
                  <w:tcBorders>
                    <w:top w:val="single" w:color="auto" w:sz="4" w:space="0"/>
                    <w:left w:val="single" w:color="auto" w:sz="4" w:space="0"/>
                    <w:bottom w:val="single" w:color="auto" w:sz="4" w:space="0"/>
                    <w:right w:val="single" w:color="auto" w:sz="4" w:space="0"/>
                  </w:tcBorders>
                  <w:vAlign w:val="center"/>
                </w:tcPr>
                <w:p>
                  <w:pPr>
                    <w:pStyle w:val="2"/>
                    <w:spacing w:before="60" w:beforeLines="15" w:after="60" w:afterLines="15" w:line="0" w:lineRule="atLeast"/>
                    <w:ind w:left="0" w:leftChars="0"/>
                    <w:rPr>
                      <w:rFonts w:hint="eastAsia" w:ascii="宋体" w:hAnsi="宋体" w:eastAsia="宋体" w:cs="宋体"/>
                      <w:bCs/>
                      <w:color w:val="000000"/>
                      <w:sz w:val="18"/>
                      <w:szCs w:val="18"/>
                    </w:rPr>
                  </w:pPr>
                  <w:r>
                    <w:rPr>
                      <w:rFonts w:hint="eastAsia" w:ascii="宋体" w:hAnsi="宋体" w:eastAsia="宋体" w:cs="宋体"/>
                      <w:bCs/>
                      <w:color w:val="000000"/>
                      <w:sz w:val="18"/>
                      <w:szCs w:val="18"/>
                    </w:rPr>
                    <w:t>考核期内统计</w:t>
                  </w:r>
                </w:p>
              </w:tc>
              <w:tc>
                <w:tcPr>
                  <w:tcW w:w="1559" w:type="dxa"/>
                  <w:tcBorders>
                    <w:top w:val="single" w:color="auto" w:sz="4" w:space="0"/>
                    <w:left w:val="single" w:color="auto" w:sz="4" w:space="0"/>
                    <w:bottom w:val="single" w:color="auto" w:sz="4" w:space="0"/>
                    <w:right w:val="single" w:color="auto" w:sz="4" w:space="0"/>
                  </w:tcBorders>
                  <w:vAlign w:val="center"/>
                </w:tcPr>
                <w:p>
                  <w:pPr>
                    <w:pStyle w:val="2"/>
                    <w:spacing w:before="60" w:beforeLines="15" w:after="60" w:afterLines="15" w:line="0" w:lineRule="atLeast"/>
                    <w:ind w:left="0" w:leftChars="0"/>
                    <w:rPr>
                      <w:rFonts w:hint="eastAsia" w:ascii="宋体" w:hAnsi="宋体" w:eastAsia="宋体" w:cs="宋体"/>
                      <w:bCs/>
                      <w:color w:val="000000"/>
                      <w:sz w:val="18"/>
                      <w:szCs w:val="18"/>
                    </w:rPr>
                  </w:pPr>
                  <w:r>
                    <w:rPr>
                      <w:rFonts w:hint="eastAsia" w:ascii="宋体" w:hAnsi="宋体" w:eastAsia="宋体" w:cs="宋体"/>
                      <w:bCs/>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370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000000"/>
                      <w:sz w:val="18"/>
                      <w:szCs w:val="18"/>
                    </w:rPr>
                  </w:pPr>
                  <w:r>
                    <w:rPr>
                      <w:rFonts w:hint="eastAsia" w:ascii="宋体" w:hAnsi="宋体" w:eastAsia="宋体" w:cs="宋体"/>
                      <w:sz w:val="18"/>
                      <w:szCs w:val="18"/>
                    </w:rPr>
                    <w:t>4.各类废弃物按规定处置率100%</w:t>
                  </w:r>
                </w:p>
              </w:tc>
              <w:tc>
                <w:tcPr>
                  <w:tcW w:w="4111" w:type="dxa"/>
                  <w:tcBorders>
                    <w:top w:val="single" w:color="auto" w:sz="4" w:space="0"/>
                    <w:left w:val="single" w:color="auto" w:sz="4" w:space="0"/>
                    <w:bottom w:val="single" w:color="auto" w:sz="4" w:space="0"/>
                    <w:right w:val="single" w:color="auto" w:sz="4" w:space="0"/>
                  </w:tcBorders>
                  <w:vAlign w:val="center"/>
                </w:tcPr>
                <w:p>
                  <w:pPr>
                    <w:pStyle w:val="2"/>
                    <w:spacing w:before="60" w:beforeLines="15" w:after="60" w:afterLines="15" w:line="0" w:lineRule="atLeast"/>
                    <w:ind w:left="0" w:leftChars="0"/>
                    <w:rPr>
                      <w:rFonts w:hint="eastAsia" w:ascii="宋体" w:hAnsi="宋体" w:eastAsia="宋体" w:cs="宋体"/>
                      <w:bCs/>
                      <w:color w:val="000000"/>
                      <w:sz w:val="18"/>
                      <w:szCs w:val="18"/>
                    </w:rPr>
                  </w:pPr>
                  <w:r>
                    <w:rPr>
                      <w:rFonts w:hint="eastAsia" w:ascii="宋体" w:hAnsi="宋体" w:eastAsia="宋体" w:cs="宋体"/>
                      <w:bCs/>
                      <w:color w:val="000000"/>
                      <w:sz w:val="18"/>
                      <w:szCs w:val="18"/>
                    </w:rPr>
                    <w:t>处置率＝处置数÷需要处置总数×100%</w:t>
                  </w:r>
                </w:p>
              </w:tc>
              <w:tc>
                <w:tcPr>
                  <w:tcW w:w="1559" w:type="dxa"/>
                  <w:tcBorders>
                    <w:top w:val="single" w:color="auto" w:sz="4" w:space="0"/>
                    <w:left w:val="single" w:color="auto" w:sz="4" w:space="0"/>
                    <w:bottom w:val="single" w:color="auto" w:sz="4" w:space="0"/>
                    <w:right w:val="single" w:color="auto" w:sz="4" w:space="0"/>
                  </w:tcBorders>
                  <w:vAlign w:val="center"/>
                </w:tcPr>
                <w:p>
                  <w:pPr>
                    <w:pStyle w:val="2"/>
                    <w:spacing w:before="60" w:beforeLines="15" w:after="60" w:afterLines="15" w:line="0" w:lineRule="atLeast"/>
                    <w:ind w:left="0" w:leftChars="0"/>
                    <w:rPr>
                      <w:rFonts w:hint="eastAsia" w:ascii="宋体" w:hAnsi="宋体" w:eastAsia="宋体" w:cs="宋体"/>
                      <w:bCs/>
                      <w:color w:val="000000"/>
                      <w:sz w:val="18"/>
                      <w:szCs w:val="18"/>
                    </w:rPr>
                  </w:pPr>
                  <w:r>
                    <w:rPr>
                      <w:rFonts w:hint="eastAsia" w:ascii="宋体" w:hAnsi="宋体" w:eastAsia="宋体" w:cs="宋体"/>
                      <w:bCs/>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370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000000"/>
                      <w:sz w:val="18"/>
                      <w:szCs w:val="18"/>
                    </w:rPr>
                  </w:pPr>
                  <w:r>
                    <w:rPr>
                      <w:rFonts w:hint="eastAsia" w:ascii="宋体" w:hAnsi="宋体" w:eastAsia="宋体" w:cs="宋体"/>
                      <w:sz w:val="18"/>
                      <w:szCs w:val="18"/>
                    </w:rPr>
                    <w:t>5.安全事故为0</w:t>
                  </w:r>
                </w:p>
              </w:tc>
              <w:tc>
                <w:tcPr>
                  <w:tcW w:w="4111" w:type="dxa"/>
                  <w:tcBorders>
                    <w:top w:val="single" w:color="auto" w:sz="4" w:space="0"/>
                    <w:left w:val="single" w:color="auto" w:sz="4" w:space="0"/>
                    <w:bottom w:val="single" w:color="auto" w:sz="4" w:space="0"/>
                    <w:right w:val="single" w:color="auto" w:sz="4" w:space="0"/>
                  </w:tcBorders>
                  <w:vAlign w:val="center"/>
                </w:tcPr>
                <w:p>
                  <w:pPr>
                    <w:pStyle w:val="2"/>
                    <w:spacing w:before="60" w:beforeLines="15" w:after="60" w:afterLines="15" w:line="0" w:lineRule="atLeast"/>
                    <w:ind w:left="0" w:leftChars="0"/>
                    <w:rPr>
                      <w:rFonts w:hint="eastAsia" w:ascii="宋体" w:hAnsi="宋体" w:eastAsia="宋体" w:cs="宋体"/>
                      <w:bCs/>
                      <w:color w:val="000000"/>
                      <w:sz w:val="18"/>
                      <w:szCs w:val="18"/>
                    </w:rPr>
                  </w:pPr>
                  <w:r>
                    <w:rPr>
                      <w:rFonts w:hint="eastAsia" w:ascii="宋体" w:hAnsi="宋体" w:eastAsia="宋体" w:cs="宋体"/>
                      <w:bCs/>
                      <w:color w:val="000000"/>
                      <w:sz w:val="18"/>
                      <w:szCs w:val="18"/>
                    </w:rPr>
                    <w:t>考核期内统计</w:t>
                  </w:r>
                </w:p>
              </w:tc>
              <w:tc>
                <w:tcPr>
                  <w:tcW w:w="1559" w:type="dxa"/>
                  <w:tcBorders>
                    <w:top w:val="single" w:color="auto" w:sz="4" w:space="0"/>
                    <w:left w:val="single" w:color="auto" w:sz="4" w:space="0"/>
                    <w:bottom w:val="single" w:color="auto" w:sz="4" w:space="0"/>
                    <w:right w:val="single" w:color="auto" w:sz="4" w:space="0"/>
                  </w:tcBorders>
                  <w:vAlign w:val="center"/>
                </w:tcPr>
                <w:p>
                  <w:pPr>
                    <w:pStyle w:val="2"/>
                    <w:spacing w:before="60" w:beforeLines="15" w:after="60" w:afterLines="15" w:line="0" w:lineRule="atLeast"/>
                    <w:ind w:left="0" w:leftChars="0"/>
                    <w:rPr>
                      <w:rFonts w:hint="eastAsia" w:ascii="宋体" w:hAnsi="宋体" w:eastAsia="宋体" w:cs="宋体"/>
                      <w:bCs/>
                      <w:color w:val="000000"/>
                      <w:sz w:val="18"/>
                      <w:szCs w:val="18"/>
                    </w:rPr>
                  </w:pPr>
                  <w:r>
                    <w:rPr>
                      <w:rFonts w:hint="eastAsia" w:ascii="宋体" w:hAnsi="宋体" w:eastAsia="宋体" w:cs="宋体"/>
                      <w:bCs/>
                      <w:color w:val="000000"/>
                      <w:sz w:val="18"/>
                      <w:szCs w:val="18"/>
                    </w:rPr>
                    <w:t>0</w:t>
                  </w:r>
                </w:p>
              </w:tc>
            </w:tr>
          </w:tbl>
          <w:p>
            <w:pPr>
              <w:snapToGrid w:val="0"/>
              <w:ind w:firstLine="420" w:firstLineChars="200"/>
              <w:rPr>
                <w:color w:val="000000"/>
                <w:szCs w:val="21"/>
                <w:highlight w:val="yellow"/>
              </w:rPr>
            </w:pPr>
            <w:r>
              <w:rPr>
                <w:rFonts w:hint="eastAsia"/>
                <w:color w:val="000000"/>
                <w:szCs w:val="21"/>
              </w:rPr>
              <w:t>目标可测量，与公司方针一致。根据提供的数据显示，以上管理目标已全部完成，考核：</w:t>
            </w:r>
            <w:r>
              <w:rPr>
                <w:rFonts w:hint="eastAsia"/>
                <w:color w:val="000000"/>
                <w:szCs w:val="21"/>
                <w:lang w:val="en-US" w:eastAsia="zh-CN"/>
              </w:rPr>
              <w:t>彭玮</w:t>
            </w:r>
            <w:r>
              <w:rPr>
                <w:rFonts w:hint="eastAsia"/>
                <w:color w:val="000000"/>
                <w:szCs w:val="21"/>
              </w:rPr>
              <w:t xml:space="preserve"> </w:t>
            </w:r>
            <w:r>
              <w:rPr>
                <w:color w:val="000000"/>
                <w:szCs w:val="21"/>
              </w:rPr>
              <w:t xml:space="preserve"> </w:t>
            </w:r>
            <w:r>
              <w:rPr>
                <w:rFonts w:hint="eastAsia"/>
                <w:color w:val="000000"/>
                <w:szCs w:val="21"/>
              </w:rPr>
              <w:t>审批：</w:t>
            </w:r>
            <w:r>
              <w:rPr>
                <w:rFonts w:hint="eastAsia"/>
                <w:color w:val="000000"/>
                <w:szCs w:val="21"/>
                <w:lang w:val="en-US" w:eastAsia="zh-CN"/>
              </w:rPr>
              <w:t>高为为</w:t>
            </w:r>
            <w:r>
              <w:rPr>
                <w:rFonts w:hint="eastAsia"/>
                <w:color w:val="000000"/>
                <w:szCs w:val="21"/>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ascii="宋体" w:hAnsi="宋体" w:cs="Arial"/>
                <w:szCs w:val="21"/>
              </w:rPr>
            </w:pPr>
            <w:r>
              <w:rPr>
                <w:rFonts w:hint="eastAsia" w:ascii="宋体" w:hAnsi="宋体" w:cs="Arial"/>
                <w:szCs w:val="21"/>
              </w:rPr>
              <w:t>环境因素/危险源辨识与评价</w:t>
            </w:r>
          </w:p>
          <w:p>
            <w:pPr>
              <w:rPr>
                <w:rFonts w:hint="eastAsia" w:ascii="Times New Roman" w:hAnsi="Times New Roman" w:eastAsia="宋体" w:cs="Times New Roman"/>
                <w:kern w:val="2"/>
                <w:sz w:val="21"/>
                <w:lang w:val="en-US" w:eastAsia="zh-CN" w:bidi="ar-SA"/>
              </w:rPr>
            </w:pPr>
            <w:r>
              <w:rPr>
                <w:rFonts w:hint="eastAsia" w:ascii="宋体" w:hAnsi="宋体" w:cs="Arial"/>
                <w:szCs w:val="21"/>
              </w:rPr>
              <w:t>应对措施</w:t>
            </w:r>
          </w:p>
        </w:tc>
        <w:tc>
          <w:tcPr>
            <w:tcW w:w="960" w:type="dxa"/>
            <w:vAlign w:val="top"/>
          </w:tcPr>
          <w:p>
            <w:pPr>
              <w:rPr>
                <w:rFonts w:ascii="宋体" w:hAnsi="宋体" w:cs="Arial"/>
                <w:szCs w:val="21"/>
              </w:rPr>
            </w:pPr>
            <w:r>
              <w:rPr>
                <w:rFonts w:ascii="宋体" w:hAnsi="宋体" w:cs="Arial"/>
                <w:szCs w:val="21"/>
              </w:rPr>
              <w:t>EO</w:t>
            </w:r>
            <w:r>
              <w:rPr>
                <w:rFonts w:hint="eastAsia" w:ascii="宋体" w:hAnsi="宋体" w:cs="Arial"/>
                <w:szCs w:val="21"/>
              </w:rPr>
              <w:t>6.1.2</w:t>
            </w:r>
          </w:p>
          <w:p>
            <w:pPr>
              <w:rPr>
                <w:rFonts w:ascii="宋体" w:hAnsi="宋体" w:eastAsia="宋体" w:cs="Arial"/>
                <w:kern w:val="2"/>
                <w:sz w:val="21"/>
                <w:szCs w:val="21"/>
                <w:lang w:val="en-US" w:eastAsia="zh-CN" w:bidi="ar-SA"/>
              </w:rPr>
            </w:pPr>
            <w:r>
              <w:rPr>
                <w:rFonts w:hint="eastAsia" w:ascii="宋体" w:hAnsi="宋体" w:cs="Arial"/>
                <w:szCs w:val="21"/>
              </w:rPr>
              <w:t>E</w:t>
            </w:r>
            <w:r>
              <w:rPr>
                <w:rFonts w:ascii="宋体" w:hAnsi="宋体" w:cs="Arial"/>
                <w:szCs w:val="21"/>
              </w:rPr>
              <w:t>O6.1.4</w:t>
            </w:r>
          </w:p>
        </w:tc>
        <w:tc>
          <w:tcPr>
            <w:tcW w:w="10004" w:type="dxa"/>
            <w:vAlign w:val="center"/>
          </w:tcPr>
          <w:p>
            <w:pPr>
              <w:spacing w:line="280" w:lineRule="exact"/>
              <w:ind w:firstLine="420" w:firstLineChars="200"/>
              <w:rPr>
                <w:szCs w:val="21"/>
              </w:rPr>
            </w:pPr>
            <w:r>
              <w:rPr>
                <w:rFonts w:hint="eastAsia"/>
                <w:szCs w:val="21"/>
              </w:rPr>
              <w:t>1)提供《环境因素识别与评价管理程序》用以指导进行环境因素的识别、登记评价，以确定重要环境因素以及对环境因素的定期更新，环境因素的识别和确定考虑生命周期观点。</w:t>
            </w:r>
          </w:p>
          <w:p>
            <w:pPr>
              <w:rPr>
                <w:szCs w:val="21"/>
              </w:rPr>
            </w:pPr>
            <w:r>
              <w:rPr>
                <w:rFonts w:hint="eastAsia"/>
                <w:szCs w:val="21"/>
              </w:rPr>
              <w:t>提供了《环境因素识别和评价表》，识别的环境因素标明时态、状态和对环境的影响；经查阅识别出对在生产区域的活动中产生的生活污水的排放、电的消耗、废旧电脑的遗弃、废打印机墨盒的废弃等</w:t>
            </w:r>
            <w:r>
              <w:rPr>
                <w:rFonts w:hint="eastAsia"/>
                <w:szCs w:val="21"/>
                <w:lang w:val="en-US" w:eastAsia="zh-CN"/>
              </w:rPr>
              <w:t>43项</w:t>
            </w:r>
            <w:r>
              <w:rPr>
                <w:rFonts w:hint="eastAsia"/>
                <w:szCs w:val="21"/>
              </w:rPr>
              <w:t>环境因素及考虑到环境管理体系发生变更时可能产生的环境因素。编制:</w:t>
            </w:r>
            <w:r>
              <w:rPr>
                <w:rFonts w:hint="eastAsia"/>
                <w:szCs w:val="21"/>
                <w:lang w:val="en-US" w:eastAsia="zh-CN"/>
              </w:rPr>
              <w:t>邵佳楼；</w:t>
            </w:r>
            <w:r>
              <w:rPr>
                <w:rFonts w:hint="eastAsia"/>
                <w:szCs w:val="21"/>
              </w:rPr>
              <w:t>审</w:t>
            </w:r>
            <w:r>
              <w:rPr>
                <w:rFonts w:hint="eastAsia"/>
                <w:szCs w:val="21"/>
                <w:lang w:val="en-US" w:eastAsia="zh-CN"/>
              </w:rPr>
              <w:t>核</w:t>
            </w:r>
            <w:r>
              <w:rPr>
                <w:rFonts w:hint="eastAsia"/>
                <w:szCs w:val="21"/>
              </w:rPr>
              <w:t>：</w:t>
            </w:r>
            <w:r>
              <w:rPr>
                <w:rFonts w:hint="eastAsia"/>
                <w:szCs w:val="21"/>
                <w:lang w:val="en-US" w:eastAsia="zh-CN"/>
              </w:rPr>
              <w:t>彭玮；</w:t>
            </w:r>
            <w:r>
              <w:rPr>
                <w:rFonts w:hint="eastAsia"/>
                <w:szCs w:val="21"/>
              </w:rPr>
              <w:t>批准：</w:t>
            </w:r>
            <w:r>
              <w:rPr>
                <w:rFonts w:hint="eastAsia"/>
                <w:szCs w:val="21"/>
                <w:lang w:val="en-US" w:eastAsia="zh-CN"/>
              </w:rPr>
              <w:t>高为为</w:t>
            </w:r>
            <w:r>
              <w:rPr>
                <w:rFonts w:hint="eastAsia"/>
                <w:szCs w:val="21"/>
              </w:rPr>
              <w:t>；日期：</w:t>
            </w:r>
            <w:r>
              <w:rPr>
                <w:rFonts w:hint="eastAsia"/>
                <w:szCs w:val="21"/>
                <w:lang w:eastAsia="zh-CN"/>
              </w:rPr>
              <w:t>2021.1.5</w:t>
            </w:r>
            <w:r>
              <w:rPr>
                <w:rFonts w:hint="eastAsia"/>
                <w:szCs w:val="21"/>
              </w:rPr>
              <w:t>。</w:t>
            </w:r>
          </w:p>
          <w:p>
            <w:pPr>
              <w:spacing w:line="280" w:lineRule="exact"/>
              <w:ind w:firstLine="420" w:firstLineChars="200"/>
              <w:rPr>
                <w:szCs w:val="21"/>
              </w:rPr>
            </w:pPr>
            <w:r>
              <w:rPr>
                <w:rFonts w:hint="eastAsia"/>
                <w:szCs w:val="21"/>
              </w:rPr>
              <w:t>重要环境因素由办公室统计综合评分方法确定重要环境因素，提供了“重要环境因素清单”：本部门的重要环境因素：</w:t>
            </w:r>
          </w:p>
          <w:p>
            <w:pPr>
              <w:pStyle w:val="15"/>
              <w:numPr>
                <w:ilvl w:val="0"/>
                <w:numId w:val="1"/>
              </w:numPr>
              <w:spacing w:line="280" w:lineRule="exact"/>
              <w:ind w:firstLineChars="0"/>
              <w:rPr>
                <w:szCs w:val="21"/>
              </w:rPr>
            </w:pPr>
            <w:r>
              <w:rPr>
                <w:rFonts w:hint="eastAsia"/>
                <w:szCs w:val="21"/>
              </w:rPr>
              <w:t>废水的排放：生活废水的排放；</w:t>
            </w:r>
          </w:p>
          <w:p>
            <w:pPr>
              <w:pStyle w:val="15"/>
              <w:numPr>
                <w:ilvl w:val="0"/>
                <w:numId w:val="1"/>
              </w:numPr>
              <w:spacing w:line="280" w:lineRule="exact"/>
              <w:ind w:firstLineChars="0"/>
              <w:rPr>
                <w:szCs w:val="21"/>
              </w:rPr>
            </w:pPr>
            <w:r>
              <w:rPr>
                <w:rFonts w:hint="eastAsia"/>
                <w:szCs w:val="21"/>
              </w:rPr>
              <w:t>废气的排放：</w:t>
            </w:r>
            <w:r>
              <w:rPr>
                <w:rFonts w:hint="eastAsia"/>
                <w:szCs w:val="21"/>
                <w:lang w:val="en-US" w:eastAsia="zh-CN"/>
              </w:rPr>
              <w:t>办公和培训过程不产生废气</w:t>
            </w:r>
            <w:r>
              <w:rPr>
                <w:rFonts w:hint="eastAsia"/>
                <w:szCs w:val="21"/>
              </w:rPr>
              <w:t>；</w:t>
            </w:r>
          </w:p>
          <w:p>
            <w:pPr>
              <w:pStyle w:val="15"/>
              <w:numPr>
                <w:ilvl w:val="0"/>
                <w:numId w:val="1"/>
              </w:numPr>
              <w:spacing w:line="280" w:lineRule="exact"/>
              <w:ind w:firstLineChars="0"/>
              <w:rPr>
                <w:szCs w:val="21"/>
              </w:rPr>
            </w:pPr>
            <w:r>
              <w:rPr>
                <w:rFonts w:hint="eastAsia"/>
                <w:szCs w:val="21"/>
              </w:rPr>
              <w:t>资源的消耗：</w:t>
            </w:r>
            <w:r>
              <w:rPr>
                <w:rFonts w:hint="eastAsia"/>
                <w:szCs w:val="21"/>
                <w:lang w:val="en-US" w:eastAsia="zh-CN"/>
              </w:rPr>
              <w:t>办公和培训过程</w:t>
            </w:r>
            <w:r>
              <w:rPr>
                <w:rFonts w:hint="eastAsia"/>
                <w:szCs w:val="21"/>
              </w:rPr>
              <w:t>用电、水</w:t>
            </w:r>
            <w:r>
              <w:rPr>
                <w:rFonts w:hint="eastAsia"/>
                <w:szCs w:val="21"/>
                <w:lang w:eastAsia="zh-CN"/>
              </w:rPr>
              <w:t>、</w:t>
            </w:r>
            <w:r>
              <w:rPr>
                <w:rFonts w:hint="eastAsia"/>
                <w:szCs w:val="21"/>
              </w:rPr>
              <w:t>办公用品等的消耗；</w:t>
            </w:r>
            <w:r>
              <w:rPr>
                <w:rFonts w:hint="eastAsia"/>
                <w:szCs w:val="21"/>
                <w:lang w:val="en-US" w:eastAsia="zh-CN"/>
              </w:rPr>
              <w:t>综合办公室组织统一检查用电、用水浪费问题</w:t>
            </w:r>
          </w:p>
          <w:p>
            <w:pPr>
              <w:pStyle w:val="15"/>
              <w:numPr>
                <w:ilvl w:val="0"/>
                <w:numId w:val="1"/>
              </w:numPr>
              <w:spacing w:line="280" w:lineRule="exact"/>
              <w:ind w:firstLineChars="0"/>
              <w:rPr>
                <w:szCs w:val="21"/>
              </w:rPr>
            </w:pPr>
            <w:r>
              <w:rPr>
                <w:rFonts w:hint="eastAsia"/>
                <w:szCs w:val="21"/>
              </w:rPr>
              <w:t>潜在火灾事故的发生：办公室的易燃物品管理不慎，吸烟等明火引发的火灾；电器短路火灾的发生；</w:t>
            </w:r>
            <w:r>
              <w:rPr>
                <w:rFonts w:hint="eastAsia"/>
                <w:szCs w:val="21"/>
                <w:lang w:val="en-US" w:eastAsia="zh-CN"/>
              </w:rPr>
              <w:t>安保服务过程中不规范用电可能引发的火灾</w:t>
            </w:r>
            <w:r>
              <w:rPr>
                <w:rFonts w:hint="eastAsia"/>
                <w:szCs w:val="21"/>
              </w:rPr>
              <w:t>；</w:t>
            </w:r>
            <w:r>
              <w:rPr>
                <w:rFonts w:hint="eastAsia"/>
                <w:szCs w:val="21"/>
                <w:lang w:val="en-US" w:eastAsia="zh-CN"/>
              </w:rPr>
              <w:t>综合办公室组织统一检查消防设施和日常检查；</w:t>
            </w:r>
          </w:p>
          <w:p>
            <w:pPr>
              <w:pStyle w:val="15"/>
              <w:numPr>
                <w:ilvl w:val="0"/>
                <w:numId w:val="1"/>
              </w:numPr>
              <w:spacing w:line="280" w:lineRule="exact"/>
              <w:ind w:firstLineChars="0"/>
              <w:rPr>
                <w:szCs w:val="21"/>
              </w:rPr>
            </w:pPr>
            <w:r>
              <w:rPr>
                <w:rFonts w:hint="eastAsia"/>
                <w:szCs w:val="21"/>
                <w:lang w:val="en-US" w:eastAsia="zh-CN"/>
              </w:rPr>
              <w:t>固废排放，</w:t>
            </w:r>
            <w:r>
              <w:rPr>
                <w:rFonts w:hint="eastAsia"/>
                <w:szCs w:val="21"/>
              </w:rPr>
              <w:t>危废弃物的排放：</w:t>
            </w:r>
            <w:r>
              <w:rPr>
                <w:rFonts w:hint="eastAsia"/>
                <w:szCs w:val="21"/>
                <w:lang w:val="en-US" w:eastAsia="zh-CN"/>
              </w:rPr>
              <w:t>办公</w:t>
            </w:r>
            <w:r>
              <w:rPr>
                <w:rFonts w:hint="eastAsia"/>
                <w:szCs w:val="21"/>
              </w:rPr>
              <w:t>废旧灯管、电池废弃处置；</w:t>
            </w:r>
            <w:r>
              <w:rPr>
                <w:rFonts w:hint="eastAsia"/>
                <w:szCs w:val="21"/>
                <w:lang w:val="en-US" w:eastAsia="zh-CN"/>
              </w:rPr>
              <w:t>由综合办公室统一收集处置</w:t>
            </w:r>
            <w:r>
              <w:rPr>
                <w:rFonts w:hint="eastAsia"/>
                <w:szCs w:val="21"/>
              </w:rPr>
              <w:t>。</w:t>
            </w:r>
            <w:r>
              <w:rPr>
                <w:rFonts w:hint="eastAsia"/>
                <w:szCs w:val="21"/>
                <w:lang w:val="en-US" w:eastAsia="zh-CN"/>
              </w:rPr>
              <w:t>日常办公固废进行垃圾分类，由办公物业环卫处置；</w:t>
            </w:r>
          </w:p>
          <w:p>
            <w:pPr>
              <w:rPr>
                <w:szCs w:val="21"/>
              </w:rPr>
            </w:pPr>
            <w:r>
              <w:rPr>
                <w:rFonts w:hint="eastAsia"/>
                <w:szCs w:val="21"/>
              </w:rPr>
              <w:t>提供了针对重要环境因素，编制环境目标、指标及管理方案及实施一览表，内容包括：目标、指标、主要措施、责任部门、经费、时间要求等。编制:</w:t>
            </w:r>
            <w:r>
              <w:rPr>
                <w:rFonts w:hint="eastAsia"/>
                <w:szCs w:val="21"/>
                <w:lang w:val="en-US" w:eastAsia="zh-CN"/>
              </w:rPr>
              <w:t>邵佳楼；</w:t>
            </w:r>
            <w:r>
              <w:rPr>
                <w:rFonts w:hint="eastAsia"/>
                <w:szCs w:val="21"/>
              </w:rPr>
              <w:t>审</w:t>
            </w:r>
            <w:r>
              <w:rPr>
                <w:rFonts w:hint="eastAsia"/>
                <w:szCs w:val="21"/>
                <w:lang w:val="en-US" w:eastAsia="zh-CN"/>
              </w:rPr>
              <w:t>核</w:t>
            </w:r>
            <w:r>
              <w:rPr>
                <w:rFonts w:hint="eastAsia"/>
                <w:szCs w:val="21"/>
              </w:rPr>
              <w:t>：</w:t>
            </w:r>
            <w:r>
              <w:rPr>
                <w:rFonts w:hint="eastAsia"/>
                <w:szCs w:val="21"/>
                <w:lang w:val="en-US" w:eastAsia="zh-CN"/>
              </w:rPr>
              <w:t>彭玮；</w:t>
            </w:r>
            <w:r>
              <w:rPr>
                <w:rFonts w:hint="eastAsia"/>
                <w:szCs w:val="21"/>
              </w:rPr>
              <w:t>批准：</w:t>
            </w:r>
            <w:r>
              <w:rPr>
                <w:rFonts w:hint="eastAsia"/>
                <w:szCs w:val="21"/>
                <w:lang w:val="en-US" w:eastAsia="zh-CN"/>
              </w:rPr>
              <w:t>高为为</w:t>
            </w:r>
            <w:r>
              <w:rPr>
                <w:rFonts w:hint="eastAsia"/>
                <w:szCs w:val="21"/>
              </w:rPr>
              <w:t>；日期：</w:t>
            </w:r>
            <w:r>
              <w:rPr>
                <w:rFonts w:hint="eastAsia"/>
                <w:szCs w:val="21"/>
                <w:lang w:eastAsia="zh-CN"/>
              </w:rPr>
              <w:t>2021.1.5</w:t>
            </w:r>
            <w:r>
              <w:rPr>
                <w:rFonts w:hint="eastAsia"/>
                <w:szCs w:val="21"/>
              </w:rPr>
              <w:t>。</w:t>
            </w:r>
          </w:p>
          <w:p>
            <w:pPr>
              <w:spacing w:line="280" w:lineRule="exact"/>
              <w:ind w:firstLine="420" w:firstLineChars="200"/>
              <w:rPr>
                <w:szCs w:val="21"/>
              </w:rPr>
            </w:pPr>
            <w:r>
              <w:rPr>
                <w:rFonts w:hint="eastAsia"/>
                <w:szCs w:val="21"/>
              </w:rPr>
              <w:t>2）提供了公司制定《危险源辨识与风险评价控制措施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rFonts w:hint="eastAsia" w:eastAsia="宋体"/>
                <w:color w:val="000000"/>
                <w:szCs w:val="21"/>
                <w:lang w:eastAsia="zh-CN"/>
              </w:rPr>
            </w:pPr>
            <w:r>
              <w:rPr>
                <w:rFonts w:hint="eastAsia"/>
                <w:szCs w:val="21"/>
              </w:rPr>
              <w:t>提供了《危险源风险辨识和评价一览表》，对</w:t>
            </w:r>
            <w:r>
              <w:rPr>
                <w:rFonts w:hint="eastAsia"/>
                <w:color w:val="000000"/>
                <w:szCs w:val="21"/>
                <w:lang w:val="en-US" w:eastAsia="zh-CN"/>
              </w:rPr>
              <w:t>安保服务人员培训</w:t>
            </w:r>
            <w:r>
              <w:rPr>
                <w:rFonts w:hint="eastAsia"/>
                <w:szCs w:val="21"/>
              </w:rPr>
              <w:t>活动及场所产生的危险源辨识并进行风险评价，以</w:t>
            </w:r>
            <w:r>
              <w:rPr>
                <w:rFonts w:hint="eastAsia"/>
                <w:color w:val="000000"/>
                <w:szCs w:val="21"/>
              </w:rPr>
              <w:t>确定控制措施，</w:t>
            </w:r>
            <w:r>
              <w:rPr>
                <w:rFonts w:hint="eastAsia"/>
                <w:color w:val="000000"/>
                <w:szCs w:val="21"/>
                <w:lang w:val="en-US" w:eastAsia="zh-CN"/>
              </w:rPr>
              <w:t>有关</w:t>
            </w:r>
            <w:r>
              <w:rPr>
                <w:rFonts w:hint="eastAsia"/>
                <w:color w:val="000000"/>
                <w:szCs w:val="21"/>
              </w:rPr>
              <w:t>人身伤害、火灾、触电等危险因素，所识别的危险源基本符合。</w:t>
            </w:r>
            <w:r>
              <w:rPr>
                <w:rFonts w:hint="eastAsia"/>
                <w:szCs w:val="21"/>
              </w:rPr>
              <w:t>编制:</w:t>
            </w:r>
            <w:r>
              <w:rPr>
                <w:rFonts w:hint="eastAsia"/>
                <w:szCs w:val="21"/>
                <w:lang w:val="en-US" w:eastAsia="zh-CN"/>
              </w:rPr>
              <w:t>邵佳楼；</w:t>
            </w:r>
            <w:r>
              <w:rPr>
                <w:rFonts w:hint="eastAsia"/>
                <w:szCs w:val="21"/>
              </w:rPr>
              <w:t>审</w:t>
            </w:r>
            <w:r>
              <w:rPr>
                <w:rFonts w:hint="eastAsia"/>
                <w:szCs w:val="21"/>
                <w:lang w:val="en-US" w:eastAsia="zh-CN"/>
              </w:rPr>
              <w:t>核</w:t>
            </w:r>
            <w:r>
              <w:rPr>
                <w:rFonts w:hint="eastAsia"/>
                <w:szCs w:val="21"/>
              </w:rPr>
              <w:t>：</w:t>
            </w:r>
            <w:r>
              <w:rPr>
                <w:rFonts w:hint="eastAsia"/>
                <w:szCs w:val="21"/>
                <w:lang w:val="en-US" w:eastAsia="zh-CN"/>
              </w:rPr>
              <w:t>彭玮；</w:t>
            </w:r>
            <w:r>
              <w:rPr>
                <w:rFonts w:hint="eastAsia"/>
                <w:szCs w:val="21"/>
              </w:rPr>
              <w:t>批准：</w:t>
            </w:r>
            <w:r>
              <w:rPr>
                <w:rFonts w:hint="eastAsia"/>
                <w:szCs w:val="21"/>
                <w:lang w:val="en-US" w:eastAsia="zh-CN"/>
              </w:rPr>
              <w:t>高为为</w:t>
            </w:r>
            <w:r>
              <w:rPr>
                <w:rFonts w:hint="eastAsia"/>
                <w:szCs w:val="21"/>
              </w:rPr>
              <w:t>；日期：</w:t>
            </w:r>
            <w:r>
              <w:rPr>
                <w:rFonts w:hint="eastAsia"/>
                <w:szCs w:val="21"/>
                <w:lang w:eastAsia="zh-CN"/>
              </w:rPr>
              <w:t>2021.1.5</w:t>
            </w:r>
          </w:p>
          <w:p>
            <w:pPr>
              <w:spacing w:line="280" w:lineRule="exact"/>
              <w:ind w:firstLine="420" w:firstLineChars="200"/>
              <w:rPr>
                <w:rFonts w:hint="eastAsia" w:ascii="Times New Roman" w:hAnsi="Times New Roman" w:eastAsia="宋体" w:cs="Times New Roman"/>
                <w:kern w:val="2"/>
                <w:sz w:val="21"/>
                <w:szCs w:val="21"/>
                <w:lang w:val="en-US" w:eastAsia="zh-CN" w:bidi="ar-SA"/>
              </w:rPr>
            </w:pPr>
            <w:r>
              <w:rPr>
                <w:rFonts w:hint="eastAsia"/>
                <w:szCs w:val="21"/>
              </w:rPr>
              <w:t>由各部门有管理经验的人员共同讨论、采用经验法确定不可接受风险。提供了《不可接受风险清单》涉及本部门的不可接受风险有：</w:t>
            </w:r>
            <w:r>
              <w:rPr>
                <w:rFonts w:hint="eastAsia"/>
                <w:szCs w:val="21"/>
                <w:lang w:val="en-US" w:eastAsia="zh-CN"/>
              </w:rPr>
              <w:t>火灾和人员伤害、伤亡</w:t>
            </w:r>
            <w:r>
              <w:rPr>
                <w:rFonts w:hint="eastAsia"/>
                <w:szCs w:val="21"/>
              </w:rPr>
              <w:t>，内容包括：目标、指标、主要措施、责任部门、经费、时间要求等。编制:</w:t>
            </w:r>
            <w:r>
              <w:rPr>
                <w:rFonts w:hint="eastAsia"/>
                <w:szCs w:val="21"/>
                <w:lang w:val="en-US" w:eastAsia="zh-CN"/>
              </w:rPr>
              <w:t>邵佳楼；</w:t>
            </w:r>
            <w:r>
              <w:rPr>
                <w:rFonts w:hint="eastAsia"/>
                <w:szCs w:val="21"/>
              </w:rPr>
              <w:t>审</w:t>
            </w:r>
            <w:r>
              <w:rPr>
                <w:rFonts w:hint="eastAsia"/>
                <w:szCs w:val="21"/>
                <w:lang w:val="en-US" w:eastAsia="zh-CN"/>
              </w:rPr>
              <w:t>核</w:t>
            </w:r>
            <w:r>
              <w:rPr>
                <w:rFonts w:hint="eastAsia"/>
                <w:szCs w:val="21"/>
              </w:rPr>
              <w:t>：</w:t>
            </w:r>
            <w:r>
              <w:rPr>
                <w:rFonts w:hint="eastAsia"/>
                <w:szCs w:val="21"/>
                <w:lang w:val="en-US" w:eastAsia="zh-CN"/>
              </w:rPr>
              <w:t>彭玮；</w:t>
            </w:r>
            <w:r>
              <w:rPr>
                <w:rFonts w:hint="eastAsia"/>
                <w:szCs w:val="21"/>
              </w:rPr>
              <w:t>批准：</w:t>
            </w:r>
            <w:r>
              <w:rPr>
                <w:rFonts w:hint="eastAsia"/>
                <w:szCs w:val="21"/>
                <w:lang w:val="en-US" w:eastAsia="zh-CN"/>
              </w:rPr>
              <w:t>高为为</w:t>
            </w:r>
            <w:r>
              <w:rPr>
                <w:rFonts w:hint="eastAsia"/>
                <w:szCs w:val="21"/>
              </w:rPr>
              <w:t>；日期：</w:t>
            </w:r>
            <w:r>
              <w:rPr>
                <w:rFonts w:hint="eastAsia"/>
                <w:szCs w:val="21"/>
                <w:lang w:eastAsia="zh-CN"/>
              </w:rPr>
              <w:t>2021.1.5</w:t>
            </w:r>
            <w:r>
              <w:rPr>
                <w:rFonts w:hint="eastAsia"/>
                <w:szCs w:val="21"/>
              </w:rPr>
              <w:t>。</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tcPr>
          <w:p>
            <w:pPr>
              <w:spacing w:line="280" w:lineRule="exact"/>
              <w:rPr>
                <w:rFonts w:ascii="宋体" w:hAnsi="宋体" w:cs="宋体"/>
                <w:szCs w:val="21"/>
              </w:rPr>
            </w:pPr>
            <w:r>
              <w:rPr>
                <w:rFonts w:hint="eastAsia" w:ascii="宋体" w:hAnsi="宋体" w:cs="宋体"/>
                <w:szCs w:val="21"/>
              </w:rPr>
              <w:t>基础设施</w:t>
            </w:r>
          </w:p>
          <w:p>
            <w:pPr>
              <w:spacing w:line="280" w:lineRule="exact"/>
              <w:rPr>
                <w:rFonts w:hint="eastAsia" w:ascii="宋体" w:hAnsi="宋体" w:cs="宋体"/>
                <w:szCs w:val="21"/>
              </w:rPr>
            </w:pPr>
            <w:r>
              <w:rPr>
                <w:rFonts w:hint="eastAsia" w:ascii="宋体" w:hAnsi="宋体" w:cs="宋体"/>
                <w:szCs w:val="21"/>
              </w:rPr>
              <w:t>运行环境</w:t>
            </w:r>
          </w:p>
          <w:p>
            <w:pPr>
              <w:spacing w:line="280" w:lineRule="exact"/>
              <w:rPr>
                <w:rFonts w:ascii="宋体" w:hAnsi="宋体" w:cs="宋体"/>
                <w:szCs w:val="21"/>
              </w:rPr>
            </w:pPr>
            <w:r>
              <w:rPr>
                <w:rFonts w:hint="eastAsia" w:ascii="宋体" w:hAnsi="宋体" w:cs="宋体"/>
                <w:szCs w:val="21"/>
              </w:rPr>
              <w:t>监视和测量资源管理管理</w:t>
            </w:r>
          </w:p>
        </w:tc>
        <w:tc>
          <w:tcPr>
            <w:tcW w:w="960" w:type="dxa"/>
          </w:tcPr>
          <w:p>
            <w:pPr>
              <w:spacing w:line="280" w:lineRule="exact"/>
              <w:rPr>
                <w:rFonts w:ascii="宋体" w:hAnsi="宋体" w:cs="宋体"/>
                <w:szCs w:val="21"/>
              </w:rPr>
            </w:pPr>
            <w:r>
              <w:rPr>
                <w:rFonts w:hint="eastAsia" w:ascii="宋体" w:hAnsi="宋体" w:cs="宋体"/>
                <w:szCs w:val="21"/>
              </w:rPr>
              <w:t>Q</w:t>
            </w:r>
            <w:r>
              <w:rPr>
                <w:rFonts w:ascii="宋体" w:hAnsi="宋体" w:cs="宋体"/>
                <w:szCs w:val="21"/>
              </w:rPr>
              <w:t>7.1.3</w:t>
            </w:r>
          </w:p>
          <w:p>
            <w:pPr>
              <w:spacing w:line="280" w:lineRule="exact"/>
              <w:rPr>
                <w:rFonts w:ascii="宋体" w:hAnsi="宋体" w:cs="宋体"/>
                <w:szCs w:val="21"/>
              </w:rPr>
            </w:pPr>
            <w:r>
              <w:rPr>
                <w:rFonts w:hint="eastAsia" w:ascii="宋体" w:hAnsi="宋体" w:cs="宋体"/>
                <w:szCs w:val="21"/>
              </w:rPr>
              <w:t>Q</w:t>
            </w:r>
            <w:r>
              <w:rPr>
                <w:rFonts w:ascii="宋体" w:hAnsi="宋体" w:cs="宋体"/>
                <w:szCs w:val="21"/>
              </w:rPr>
              <w:t>7.1.4</w:t>
            </w:r>
          </w:p>
          <w:p>
            <w:pPr>
              <w:spacing w:line="280" w:lineRule="exact"/>
              <w:rPr>
                <w:rFonts w:ascii="宋体" w:hAnsi="宋体" w:cs="宋体"/>
                <w:szCs w:val="21"/>
              </w:rPr>
            </w:pPr>
            <w:r>
              <w:rPr>
                <w:rFonts w:hint="eastAsia" w:ascii="宋体" w:hAnsi="宋体" w:cs="宋体"/>
                <w:szCs w:val="21"/>
              </w:rPr>
              <w:t>Q</w:t>
            </w:r>
            <w:r>
              <w:rPr>
                <w:rFonts w:ascii="宋体" w:hAnsi="宋体" w:cs="宋体"/>
                <w:szCs w:val="21"/>
              </w:rPr>
              <w:t>7.1.5</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组织提供的</w:t>
            </w:r>
            <w:r>
              <w:rPr>
                <w:color w:val="000000"/>
                <w:szCs w:val="21"/>
              </w:rPr>
              <w:t>保安服务</w:t>
            </w:r>
            <w:r>
              <w:rPr>
                <w:rFonts w:hint="eastAsia"/>
                <w:color w:val="000000"/>
                <w:szCs w:val="21"/>
                <w:lang w:eastAsia="zh-CN"/>
              </w:rPr>
              <w:t>（门卫、巡逻、随身护卫、安全检查）</w:t>
            </w:r>
            <w:r>
              <w:rPr>
                <w:color w:val="000000"/>
                <w:szCs w:val="21"/>
              </w:rPr>
              <w:t>及相关活动</w:t>
            </w:r>
            <w:r>
              <w:rPr>
                <w:rFonts w:hint="eastAsia"/>
                <w:color w:val="000000"/>
                <w:szCs w:val="21"/>
              </w:rPr>
              <w:t>，所使用的的基础设施和监视和测量资源有一定的的共通性。</w:t>
            </w:r>
            <w:r>
              <w:rPr>
                <w:rFonts w:hint="eastAsia" w:ascii="宋体" w:hAnsi="宋体" w:cs="宋体"/>
                <w:szCs w:val="21"/>
              </w:rPr>
              <w:t>在手册中7</w:t>
            </w:r>
            <w:r>
              <w:rPr>
                <w:rFonts w:ascii="宋体" w:hAnsi="宋体" w:cs="宋体"/>
                <w:szCs w:val="21"/>
              </w:rPr>
              <w:t>.1.3</w:t>
            </w:r>
            <w:r>
              <w:rPr>
                <w:rFonts w:hint="eastAsia" w:ascii="宋体" w:hAnsi="宋体" w:cs="宋体"/>
                <w:szCs w:val="21"/>
              </w:rPr>
              <w:t>中对基础设施，7</w:t>
            </w:r>
            <w:r>
              <w:rPr>
                <w:rFonts w:ascii="宋体" w:hAnsi="宋体" w:cs="宋体"/>
                <w:szCs w:val="21"/>
              </w:rPr>
              <w:t>.1.5</w:t>
            </w:r>
            <w:r>
              <w:rPr>
                <w:rFonts w:hint="eastAsia" w:ascii="宋体" w:hAnsi="宋体" w:cs="宋体"/>
                <w:szCs w:val="21"/>
              </w:rPr>
              <w:t>中对监视和测量资源管理进行了规定。提供了程序文件</w:t>
            </w:r>
            <w:r>
              <w:rPr>
                <w:rFonts w:hint="eastAsia" w:ascii="宋体" w:hAnsi="宋体"/>
                <w:color w:val="000000"/>
                <w:szCs w:val="21"/>
              </w:rPr>
              <w:t>《</w:t>
            </w:r>
            <w:r>
              <w:rPr>
                <w:rFonts w:hint="eastAsia" w:ascii="宋体" w:hAnsi="宋体"/>
                <w:szCs w:val="21"/>
              </w:rPr>
              <w:t>基础设施与工作环境控制程序》和</w:t>
            </w:r>
            <w:r>
              <w:rPr>
                <w:rFonts w:hint="eastAsia" w:ascii="宋体" w:hAnsi="宋体" w:cs="宋体"/>
                <w:szCs w:val="21"/>
              </w:rPr>
              <w:t>《</w:t>
            </w:r>
            <w:r>
              <w:rPr>
                <w:rFonts w:hint="eastAsia" w:ascii="宋体" w:hAnsi="宋体"/>
                <w:szCs w:val="21"/>
              </w:rPr>
              <w:t>监视和测量资源控制程序</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查看所提供的设备台账清单，保安服务过程中使用的设备：办公室过程使用电话、电脑、网络、复印机等，以上设备配置适宜，能确保服务的实现。所使用的保安的工具，主要由业主方提供，如应急照明灯、消防泵、烟雾报警器、监控摄像头、对讲机等；对上述工器具的维护保养主要由保安部各小组负责，提供设备维护保养计划和记录，但未包括安保用具（头盔、手套、钢叉等），现场沟通。</w:t>
            </w:r>
          </w:p>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rPr>
              <w:t>目前公司主要上门提供服务，因此组织无相应的场所要求。公司办公场所位于浙江省杭州市</w:t>
            </w:r>
            <w:r>
              <w:rPr>
                <w:rFonts w:hint="eastAsia" w:ascii="宋体" w:hAnsi="宋体" w:cs="宋体"/>
                <w:szCs w:val="21"/>
                <w:lang w:val="en-US" w:eastAsia="zh-CN"/>
              </w:rPr>
              <w:t>拱墅区湖州街29号</w:t>
            </w:r>
            <w:r>
              <w:rPr>
                <w:rFonts w:hint="eastAsia" w:ascii="宋体" w:hAnsi="宋体" w:cs="宋体"/>
                <w:szCs w:val="21"/>
              </w:rPr>
              <w:t>；</w:t>
            </w:r>
            <w:r>
              <w:rPr>
                <w:rFonts w:hint="eastAsia" w:ascii="宋体" w:hAnsi="宋体" w:cs="宋体"/>
                <w:szCs w:val="21"/>
                <w:lang w:val="en-US" w:eastAsia="zh-CN"/>
              </w:rPr>
              <w:t xml:space="preserve">保安服务场所为杭州师范大学附属医院； </w:t>
            </w:r>
          </w:p>
          <w:p>
            <w:pPr>
              <w:spacing w:line="280" w:lineRule="exact"/>
              <w:ind w:left="210" w:leftChars="100" w:firstLine="210" w:firstLineChars="100"/>
              <w:rPr>
                <w:rFonts w:ascii="宋体" w:hAnsi="宋体" w:cs="宋体"/>
                <w:szCs w:val="21"/>
              </w:rPr>
            </w:pPr>
            <w:r>
              <w:rPr>
                <w:rFonts w:hint="eastAsia" w:ascii="宋体" w:hAnsi="宋体" w:cs="宋体"/>
                <w:szCs w:val="21"/>
              </w:rPr>
              <w:t>安保过程涉及的监视测量设备主要为各类</w:t>
            </w:r>
            <w:r>
              <w:rPr>
                <w:rFonts w:hint="eastAsia" w:ascii="宋体" w:hAnsi="宋体" w:cs="宋体"/>
                <w:szCs w:val="21"/>
                <w:lang w:val="en-US" w:eastAsia="zh-CN"/>
              </w:rPr>
              <w:t>办公用品； 消防喷漆头、对讲机、消防巡逻车、记录仪等；场所的</w:t>
            </w:r>
            <w:r>
              <w:rPr>
                <w:rFonts w:hint="eastAsia" w:ascii="宋体" w:hAnsi="宋体" w:cs="宋体"/>
                <w:szCs w:val="21"/>
              </w:rPr>
              <w:t>监控摄像头</w:t>
            </w:r>
            <w:r>
              <w:rPr>
                <w:rFonts w:hint="eastAsia" w:ascii="宋体" w:hAnsi="宋体" w:cs="宋体"/>
                <w:szCs w:val="21"/>
                <w:lang w:val="en-US" w:eastAsia="zh-CN"/>
              </w:rPr>
              <w:t>为业主所有，供保安部使用，</w:t>
            </w:r>
            <w:r>
              <w:rPr>
                <w:rFonts w:hint="eastAsia" w:ascii="宋体" w:hAnsi="宋体" w:cs="宋体"/>
                <w:szCs w:val="21"/>
              </w:rPr>
              <w:t>已进行罗列，</w:t>
            </w:r>
            <w:r>
              <w:rPr>
                <w:rFonts w:hint="eastAsia" w:ascii="宋体" w:hAnsi="宋体" w:cs="宋体"/>
                <w:szCs w:val="21"/>
                <w:highlight w:val="yellow"/>
              </w:rPr>
              <w:t>但未提供对监控摄像头的有效性情况进行管理的证据。</w:t>
            </w:r>
          </w:p>
        </w:tc>
        <w:tc>
          <w:tcPr>
            <w:tcW w:w="1585" w:type="dxa"/>
          </w:tcPr>
          <w:p>
            <w:r>
              <w:rPr>
                <w:rFonts w:hint="eastAsia"/>
              </w:rPr>
              <w:t>Y</w:t>
            </w:r>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280" w:lineRule="exact"/>
              <w:rPr>
                <w:rFonts w:ascii="宋体" w:hAnsi="宋体" w:cs="宋体"/>
                <w:szCs w:val="21"/>
              </w:rPr>
            </w:pPr>
            <w:r>
              <w:rPr>
                <w:rFonts w:hint="eastAsia" w:ascii="宋体" w:hAnsi="宋体" w:cs="宋体"/>
                <w:szCs w:val="21"/>
              </w:rPr>
              <w:t>沟通</w:t>
            </w:r>
          </w:p>
        </w:tc>
        <w:tc>
          <w:tcPr>
            <w:tcW w:w="960" w:type="dxa"/>
          </w:tcPr>
          <w:p>
            <w:pPr>
              <w:spacing w:line="280" w:lineRule="exact"/>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EO</w:t>
            </w:r>
            <w:r>
              <w:rPr>
                <w:rFonts w:ascii="宋体" w:hAnsi="宋体" w:cs="宋体"/>
                <w:szCs w:val="21"/>
              </w:rPr>
              <w:t>7.4</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公司制定了</w:t>
            </w:r>
            <w:bookmarkStart w:id="0" w:name="OLE_LINK5"/>
            <w:r>
              <w:rPr>
                <w:rFonts w:hint="eastAsia" w:ascii="宋体" w:hAnsi="宋体" w:cs="宋体"/>
                <w:szCs w:val="21"/>
              </w:rPr>
              <w:t>信息交流管理程序</w:t>
            </w:r>
            <w:bookmarkEnd w:id="0"/>
            <w:r>
              <w:rPr>
                <w:rFonts w:hint="eastAsia" w:ascii="宋体" w:hAnsi="宋体" w:cs="宋体"/>
                <w:szCs w:val="21"/>
              </w:rPr>
              <w:t>，对沟通的信息内容、渠道、责任等进行了明确。保安部主要负责与客户进行现场保安方面需求、结果等相关信息的传递和沟通，目前没有发生因沟通不善造成问题的情况。</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ascii="宋体" w:hAnsi="宋体" w:cs="Arial"/>
                <w:szCs w:val="21"/>
              </w:rPr>
            </w:pPr>
            <w:r>
              <w:rPr>
                <w:rFonts w:hint="eastAsia" w:ascii="宋体" w:hAnsi="宋体" w:cs="Arial"/>
                <w:szCs w:val="21"/>
              </w:rPr>
              <w:t>运行策划和控制</w:t>
            </w:r>
          </w:p>
        </w:tc>
        <w:tc>
          <w:tcPr>
            <w:tcW w:w="960" w:type="dxa"/>
          </w:tcPr>
          <w:p>
            <w:pPr>
              <w:rPr>
                <w:rFonts w:ascii="宋体" w:hAnsi="宋体" w:cs="Arial"/>
                <w:szCs w:val="21"/>
              </w:rPr>
            </w:pPr>
            <w:r>
              <w:rPr>
                <w:rFonts w:hint="eastAsia" w:ascii="宋体" w:hAnsi="宋体" w:cs="Arial"/>
                <w:szCs w:val="21"/>
              </w:rPr>
              <w:t>Q:8.1</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对于管理体系覆盖范围内常规保安服务服务，公司已在管理体系运行之初进行了保安服务实现的策划，形成的各类文件《与顾客有关过程管理程序》、《相关方管理办法》、《处置突发事故应急预案》、保安服务管理制度、保安巡逻管理制度、行为规范管理制度、物业门卫管理制度、小区物业保安规章制度等十多份作用指导文件；</w:t>
            </w:r>
          </w:p>
          <w:p>
            <w:pPr>
              <w:spacing w:line="280" w:lineRule="exact"/>
              <w:ind w:firstLine="420" w:firstLineChars="200"/>
              <w:rPr>
                <w:rFonts w:ascii="宋体" w:hAnsi="宋体" w:cs="宋体"/>
                <w:szCs w:val="21"/>
              </w:rPr>
            </w:pPr>
            <w:r>
              <w:rPr>
                <w:rFonts w:hint="eastAsia"/>
                <w:color w:val="000000"/>
                <w:szCs w:val="21"/>
              </w:rPr>
              <w:t>目前针对</w:t>
            </w:r>
            <w:r>
              <w:rPr>
                <w:color w:val="000000"/>
                <w:szCs w:val="21"/>
              </w:rPr>
              <w:t>保安服务</w:t>
            </w:r>
            <w:r>
              <w:rPr>
                <w:rFonts w:hint="eastAsia"/>
                <w:color w:val="000000"/>
                <w:szCs w:val="21"/>
                <w:lang w:eastAsia="zh-CN"/>
              </w:rPr>
              <w:t>（门卫、巡逻、随身护卫、安全检查）</w:t>
            </w:r>
            <w:r>
              <w:rPr>
                <w:color w:val="000000"/>
                <w:szCs w:val="21"/>
              </w:rPr>
              <w:t>及相关活动</w:t>
            </w:r>
            <w:r>
              <w:rPr>
                <w:rFonts w:hint="eastAsia"/>
                <w:color w:val="000000"/>
                <w:szCs w:val="21"/>
              </w:rPr>
              <w:t>没有专项标准，主要客户要求为主，适用的法规包括浙江省保安服务管理条例以及浙江省公安厅关于贯彻实施《保安服务管理条例》工作的意见、杭州市保安服务管理办法等。组织策划了安保作业指导书、</w:t>
            </w:r>
            <w:r>
              <w:rPr>
                <w:rFonts w:hint="eastAsia" w:ascii="宋体" w:hAnsi="宋体" w:cs="宋体"/>
                <w:szCs w:val="21"/>
              </w:rPr>
              <w:t>质量监督与安全管理作业指导书等能确保服务质量的管理。</w:t>
            </w:r>
          </w:p>
          <w:p>
            <w:pPr>
              <w:spacing w:line="280" w:lineRule="exact"/>
              <w:ind w:firstLine="420" w:firstLineChars="200"/>
              <w:rPr>
                <w:rFonts w:ascii="宋体" w:hAnsi="宋体" w:cs="宋体"/>
                <w:szCs w:val="21"/>
              </w:rPr>
            </w:pPr>
            <w:r>
              <w:rPr>
                <w:rFonts w:hint="eastAsia" w:ascii="宋体" w:hAnsi="宋体" w:cs="宋体"/>
                <w:szCs w:val="21"/>
              </w:rPr>
              <w:t>保安服务过程中使用的设备：办公室过程使用电话、电脑、网络、复印机等，以上设备配置适宜，能确保服务的实现。所使用的保安的工具，主要由业主方提供，如应急照明灯、消防泵、烟雾报警器、监控摄像头、对讲机、防护头盔、警棍、钢叉防护器具、安防包等。</w:t>
            </w:r>
          </w:p>
          <w:p>
            <w:pPr>
              <w:spacing w:line="280" w:lineRule="exact"/>
              <w:ind w:firstLine="420" w:firstLineChars="200"/>
              <w:rPr>
                <w:rFonts w:ascii="宋体" w:hAnsi="宋体" w:cs="宋体"/>
                <w:szCs w:val="21"/>
              </w:rPr>
            </w:pPr>
            <w:r>
              <w:rPr>
                <w:rFonts w:hint="eastAsia" w:ascii="宋体" w:hAnsi="宋体" w:cs="宋体"/>
                <w:szCs w:val="21"/>
              </w:rPr>
              <w:t>检测保安服务质量情况一般只适用一些监视仪器等，如视频摄像头等。</w:t>
            </w:r>
          </w:p>
          <w:p>
            <w:pPr>
              <w:spacing w:line="280" w:lineRule="exact"/>
              <w:ind w:firstLine="420" w:firstLineChars="200"/>
              <w:rPr>
                <w:rFonts w:ascii="宋体" w:hAnsi="宋体" w:cs="宋体"/>
                <w:szCs w:val="21"/>
              </w:rPr>
            </w:pPr>
            <w:r>
              <w:rPr>
                <w:rFonts w:hint="eastAsia" w:ascii="宋体" w:hAnsi="宋体" w:cs="宋体"/>
                <w:szCs w:val="21"/>
              </w:rPr>
              <w:t>以上保安服务实现的策划工作基本符合要求，能确保保安服务实现和目标的实现。</w:t>
            </w:r>
          </w:p>
          <w:p>
            <w:pPr>
              <w:spacing w:line="280" w:lineRule="exact"/>
              <w:ind w:firstLine="420" w:firstLineChars="200"/>
              <w:rPr>
                <w:rFonts w:ascii="宋体" w:hAnsi="宋体" w:cs="宋体"/>
                <w:szCs w:val="21"/>
              </w:rPr>
            </w:pPr>
            <w:r>
              <w:rPr>
                <w:rFonts w:hint="eastAsia" w:ascii="宋体" w:hAnsi="宋体" w:cs="宋体"/>
                <w:szCs w:val="21"/>
              </w:rPr>
              <w:t>组织一般针对各顾客要求，制定特定保安服务和合同。</w:t>
            </w:r>
          </w:p>
          <w:p>
            <w:pPr>
              <w:spacing w:line="280" w:lineRule="exact"/>
              <w:ind w:firstLine="420" w:firstLineChars="200"/>
              <w:rPr>
                <w:szCs w:val="21"/>
              </w:rPr>
            </w:pPr>
            <w:r>
              <w:rPr>
                <w:rFonts w:hint="eastAsia" w:ascii="宋体" w:hAnsi="宋体" w:cs="宋体"/>
                <w:szCs w:val="21"/>
              </w:rPr>
              <w:t>识别无外包过程。</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spacing w:line="280" w:lineRule="exact"/>
              <w:rPr>
                <w:rFonts w:hint="eastAsia" w:ascii="Times New Roman" w:hAnsi="Times New Roman" w:eastAsia="宋体" w:cs="Times New Roman"/>
                <w:kern w:val="2"/>
                <w:sz w:val="21"/>
                <w:szCs w:val="21"/>
                <w:lang w:val="en-US" w:eastAsia="zh-CN" w:bidi="ar-SA"/>
              </w:rPr>
            </w:pPr>
            <w:r>
              <w:rPr>
                <w:rFonts w:hint="eastAsia"/>
                <w:szCs w:val="21"/>
              </w:rPr>
              <w:t>运行策划和控制</w:t>
            </w:r>
          </w:p>
        </w:tc>
        <w:tc>
          <w:tcPr>
            <w:tcW w:w="960" w:type="dxa"/>
            <w:vAlign w:val="top"/>
          </w:tcPr>
          <w:p>
            <w:pPr>
              <w:spacing w:line="280" w:lineRule="exact"/>
              <w:rPr>
                <w:szCs w:val="21"/>
              </w:rPr>
            </w:pPr>
            <w:r>
              <w:rPr>
                <w:rFonts w:hint="eastAsia"/>
                <w:szCs w:val="21"/>
              </w:rPr>
              <w:t>EO</w:t>
            </w:r>
          </w:p>
          <w:p>
            <w:pPr>
              <w:spacing w:line="280" w:lineRule="exact"/>
              <w:rPr>
                <w:rFonts w:hint="eastAsia" w:ascii="Times New Roman" w:hAnsi="Times New Roman" w:eastAsia="宋体" w:cs="Times New Roman"/>
                <w:kern w:val="2"/>
                <w:sz w:val="21"/>
                <w:szCs w:val="21"/>
                <w:lang w:val="en-US" w:eastAsia="zh-CN" w:bidi="ar-SA"/>
              </w:rPr>
            </w:pPr>
            <w:r>
              <w:rPr>
                <w:rFonts w:hint="eastAsia"/>
                <w:szCs w:val="21"/>
              </w:rPr>
              <w:t>8.1</w:t>
            </w:r>
          </w:p>
        </w:tc>
        <w:tc>
          <w:tcPr>
            <w:tcW w:w="10004" w:type="dxa"/>
            <w:vAlign w:val="center"/>
          </w:tcPr>
          <w:p>
            <w:pPr>
              <w:spacing w:line="280" w:lineRule="exact"/>
              <w:ind w:firstLine="420" w:firstLineChars="200"/>
              <w:rPr>
                <w:szCs w:val="21"/>
              </w:rPr>
            </w:pPr>
            <w:r>
              <w:rPr>
                <w:rFonts w:hint="eastAsia" w:ascii="宋体" w:hAnsi="宋体" w:cs="宋体"/>
                <w:szCs w:val="21"/>
                <w:lang w:val="en-US" w:eastAsia="zh-CN"/>
              </w:rPr>
              <w:t>保安</w:t>
            </w:r>
            <w:r>
              <w:rPr>
                <w:rFonts w:hint="eastAsia" w:ascii="宋体" w:hAnsi="宋体" w:cs="宋体"/>
                <w:szCs w:val="21"/>
              </w:rPr>
              <w:t>部</w:t>
            </w:r>
            <w:r>
              <w:rPr>
                <w:rFonts w:hint="eastAsia"/>
                <w:szCs w:val="21"/>
              </w:rPr>
              <w:t>按照风险机遇、环境因素、危险源的识别和评价情况以及所确定的应对措施，进行贯彻实施。</w:t>
            </w:r>
          </w:p>
          <w:p>
            <w:pPr>
              <w:spacing w:line="280" w:lineRule="exact"/>
              <w:rPr>
                <w:rFonts w:hint="eastAsia"/>
                <w:szCs w:val="21"/>
                <w:lang w:eastAsia="zh-CN"/>
              </w:rPr>
            </w:pPr>
            <w:r>
              <w:rPr>
                <w:rFonts w:hint="eastAsia"/>
                <w:szCs w:val="21"/>
              </w:rPr>
              <w:t>涉及的环境因素和危险源主要为生活污水的排放、电的消耗、废旧电脑的遗弃、废打印机墨盒的废弃</w:t>
            </w:r>
            <w:r>
              <w:rPr>
                <w:rFonts w:hint="eastAsia"/>
                <w:szCs w:val="21"/>
                <w:lang w:eastAsia="zh-CN"/>
              </w:rPr>
              <w:t>。</w:t>
            </w:r>
          </w:p>
          <w:p>
            <w:pPr>
              <w:spacing w:line="280" w:lineRule="exact"/>
              <w:rPr>
                <w:rFonts w:hint="eastAsia"/>
                <w:szCs w:val="21"/>
                <w:lang w:eastAsia="zh-CN"/>
              </w:rPr>
            </w:pPr>
          </w:p>
          <w:p>
            <w:pPr>
              <w:spacing w:line="280" w:lineRule="exact"/>
              <w:ind w:firstLine="420" w:firstLineChars="200"/>
              <w:rPr>
                <w:rFonts w:hint="eastAsia"/>
                <w:szCs w:val="21"/>
                <w:lang w:val="en-US" w:eastAsia="zh-CN"/>
              </w:rPr>
            </w:pPr>
            <w:r>
              <w:rPr>
                <w:rFonts w:hint="eastAsia"/>
                <w:szCs w:val="21"/>
                <w:lang w:val="en-US" w:eastAsia="zh-CN"/>
              </w:rPr>
              <w:t>环境和职业健康安全管控主要涉及：</w:t>
            </w:r>
          </w:p>
          <w:p>
            <w:pPr>
              <w:numPr>
                <w:ilvl w:val="0"/>
                <w:numId w:val="2"/>
              </w:numPr>
              <w:spacing w:line="280" w:lineRule="exact"/>
              <w:rPr>
                <w:rFonts w:hint="eastAsia"/>
                <w:szCs w:val="21"/>
                <w:lang w:val="en-US" w:eastAsia="zh-CN"/>
              </w:rPr>
            </w:pPr>
            <w:r>
              <w:rPr>
                <w:rFonts w:hint="eastAsia"/>
                <w:szCs w:val="21"/>
              </w:rPr>
              <w:t>固废管控：</w:t>
            </w:r>
            <w:r>
              <w:rPr>
                <w:rFonts w:hint="eastAsia"/>
                <w:szCs w:val="21"/>
                <w:lang w:val="en-US" w:eastAsia="zh-CN"/>
              </w:rPr>
              <w:t>办公过程实施垃圾分类，服务期间要求安保人员期间实施垃圾分类；办公过程产品的旧电池、废墨盒等废弃物，统一收集效综合办公室处置；</w:t>
            </w:r>
          </w:p>
          <w:p>
            <w:pPr>
              <w:numPr>
                <w:ilvl w:val="0"/>
                <w:numId w:val="2"/>
              </w:numPr>
              <w:spacing w:line="280" w:lineRule="exact"/>
              <w:rPr>
                <w:szCs w:val="21"/>
              </w:rPr>
            </w:pPr>
            <w:r>
              <w:rPr>
                <w:rFonts w:hint="eastAsia"/>
                <w:szCs w:val="21"/>
                <w:lang w:val="en-US" w:eastAsia="zh-CN"/>
              </w:rPr>
              <w:t>防火：办公和保安服务区域</w:t>
            </w:r>
            <w:r>
              <w:rPr>
                <w:rFonts w:hint="eastAsia" w:hAnsi="宋体"/>
              </w:rPr>
              <w:t>设置防火标识，配备</w:t>
            </w:r>
            <w:r>
              <w:rPr>
                <w:rFonts w:hint="eastAsia" w:hAnsi="宋体"/>
                <w:lang w:val="en-US" w:eastAsia="zh-CN"/>
              </w:rPr>
              <w:t>灭火器；并对服务场所的消防设施进行检查。</w:t>
            </w:r>
          </w:p>
          <w:p>
            <w:pPr>
              <w:numPr>
                <w:ilvl w:val="0"/>
                <w:numId w:val="2"/>
              </w:numPr>
              <w:spacing w:line="280" w:lineRule="exact"/>
              <w:rPr>
                <w:szCs w:val="21"/>
              </w:rPr>
            </w:pPr>
            <w:r>
              <w:rPr>
                <w:rFonts w:hint="eastAsia" w:hAnsi="宋体"/>
                <w:lang w:val="en-US" w:eastAsia="zh-CN"/>
              </w:rPr>
              <w:t>用电安全：办公区域和保安服务场所不私设电线，规范用电。</w:t>
            </w:r>
          </w:p>
          <w:p>
            <w:pPr>
              <w:numPr>
                <w:ilvl w:val="0"/>
                <w:numId w:val="2"/>
              </w:numPr>
              <w:spacing w:line="280" w:lineRule="exact"/>
              <w:rPr>
                <w:szCs w:val="21"/>
              </w:rPr>
            </w:pPr>
            <w:r>
              <w:rPr>
                <w:rFonts w:hint="eastAsia" w:hAnsi="宋体"/>
                <w:lang w:val="en-US" w:eastAsia="zh-CN"/>
              </w:rPr>
              <w:t>办公场所用水：统一按公司规定节约用水，生活用水直接排入管网。</w:t>
            </w:r>
          </w:p>
          <w:p>
            <w:pPr>
              <w:widowControl w:val="0"/>
              <w:numPr>
                <w:numId w:val="0"/>
              </w:numPr>
              <w:spacing w:line="280" w:lineRule="exact"/>
              <w:jc w:val="both"/>
              <w:rPr>
                <w:rFonts w:hint="eastAsia" w:ascii="Times New Roman" w:hAnsi="Times New Roman" w:eastAsia="宋体" w:cs="Times New Roman"/>
                <w:kern w:val="2"/>
                <w:sz w:val="21"/>
                <w:highlight w:val="yellow"/>
                <w:lang w:val="en-US" w:eastAsia="zh-CN" w:bidi="ar-SA"/>
              </w:rPr>
            </w:pPr>
            <w:r>
              <w:rPr>
                <w:rFonts w:hint="eastAsia"/>
                <w:szCs w:val="21"/>
                <w:lang w:val="en-US" w:eastAsia="zh-CN"/>
              </w:rPr>
              <w:t xml:space="preserve">  </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rPr>
                <w:rFonts w:hint="eastAsia" w:ascii="宋体" w:hAnsi="宋体" w:eastAsia="宋体" w:cs="Arial"/>
                <w:kern w:val="2"/>
                <w:sz w:val="21"/>
                <w:szCs w:val="21"/>
                <w:lang w:val="en-US" w:eastAsia="zh-CN" w:bidi="ar-SA"/>
              </w:rPr>
            </w:pPr>
            <w:r>
              <w:rPr>
                <w:rFonts w:hint="eastAsia" w:ascii="宋体" w:hAnsi="宋体" w:cs="Arial"/>
                <w:szCs w:val="21"/>
              </w:rPr>
              <w:t>应急准备和响应</w:t>
            </w:r>
          </w:p>
        </w:tc>
        <w:tc>
          <w:tcPr>
            <w:tcW w:w="960" w:type="dxa"/>
            <w:vAlign w:val="top"/>
          </w:tcPr>
          <w:p>
            <w:pPr>
              <w:rPr>
                <w:rFonts w:ascii="宋体" w:hAnsi="宋体" w:cs="Arial"/>
                <w:szCs w:val="21"/>
              </w:rPr>
            </w:pPr>
            <w:r>
              <w:rPr>
                <w:rFonts w:ascii="宋体" w:hAnsi="宋体" w:cs="Arial"/>
                <w:szCs w:val="21"/>
              </w:rPr>
              <w:t>EO</w:t>
            </w:r>
          </w:p>
          <w:p>
            <w:pPr>
              <w:rPr>
                <w:rFonts w:hint="eastAsia" w:ascii="宋体" w:hAnsi="宋体" w:eastAsia="宋体" w:cs="Arial"/>
                <w:kern w:val="2"/>
                <w:sz w:val="21"/>
                <w:szCs w:val="21"/>
                <w:lang w:val="en-US" w:eastAsia="zh-CN" w:bidi="ar-SA"/>
              </w:rPr>
            </w:pPr>
            <w:r>
              <w:rPr>
                <w:rFonts w:hint="eastAsia" w:ascii="宋体" w:hAnsi="宋体" w:cs="Arial"/>
                <w:szCs w:val="21"/>
              </w:rPr>
              <w:t xml:space="preserve">8.2 </w:t>
            </w:r>
          </w:p>
        </w:tc>
        <w:tc>
          <w:tcPr>
            <w:tcW w:w="10004" w:type="dxa"/>
            <w:vAlign w:val="center"/>
          </w:tcPr>
          <w:p>
            <w:pPr>
              <w:rPr>
                <w:szCs w:val="21"/>
              </w:rPr>
            </w:pPr>
            <w:r>
              <w:rPr>
                <w:rFonts w:hint="eastAsia"/>
                <w:szCs w:val="21"/>
              </w:rPr>
              <w:t>编制了《应急准备和响应控制程序》，查看内容基本符合要求。</w:t>
            </w:r>
          </w:p>
          <w:p>
            <w:pPr>
              <w:rPr>
                <w:szCs w:val="21"/>
              </w:rPr>
            </w:pPr>
            <w:r>
              <w:rPr>
                <w:rFonts w:hint="eastAsia"/>
                <w:szCs w:val="21"/>
                <w:lang w:val="en-US" w:eastAsia="zh-CN"/>
              </w:rPr>
              <w:t>参加公司组织的消防灭火演练（6月15日上午）、处置暴力犯罪-盗窃（6月15日下午 ）、危险物品的处理（6月16日上午）、打架斗殴（6月16日下午）、交通意外事故（6月17日上午）、抢劫案件的处置（6月19日上午）、瓦斯、易燃气体泄漏应急处理（6月20日上午）。演练地点：办公大楼前，提供演练记录，参加人员包括总指挥高为为，策划彭玮</w:t>
            </w:r>
            <w:r>
              <w:rPr>
                <w:rFonts w:hint="eastAsia"/>
                <w:szCs w:val="21"/>
              </w:rPr>
              <w:t>，记录了演练过程，存在的问题主要为要加强消防技能的的培训，普及全体员工的防火意识。并进行了总结评估。</w:t>
            </w:r>
          </w:p>
          <w:p>
            <w:pPr>
              <w:rPr>
                <w:rFonts w:hint="eastAsia" w:ascii="Times New Roman" w:hAnsi="Times New Roman" w:eastAsia="宋体" w:cs="Times New Roman"/>
                <w:kern w:val="2"/>
                <w:sz w:val="21"/>
                <w:szCs w:val="21"/>
                <w:lang w:val="en-US" w:eastAsia="zh-CN" w:bidi="ar-SA"/>
              </w:rPr>
            </w:pPr>
            <w:r>
              <w:rPr>
                <w:rFonts w:hint="eastAsia"/>
                <w:szCs w:val="21"/>
              </w:rPr>
              <w:t>目前没有发生需响应的突发情况。应急管理基本符合要求要求。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spacing w:line="280" w:lineRule="exact"/>
              <w:rPr>
                <w:rFonts w:cs="宋体"/>
                <w:szCs w:val="21"/>
              </w:rPr>
            </w:pPr>
            <w:r>
              <w:rPr>
                <w:rFonts w:hint="eastAsia" w:cs="宋体"/>
                <w:szCs w:val="21"/>
              </w:rPr>
              <w:t>设计和开发</w:t>
            </w:r>
          </w:p>
        </w:tc>
        <w:tc>
          <w:tcPr>
            <w:tcW w:w="960" w:type="dxa"/>
          </w:tcPr>
          <w:p>
            <w:pPr>
              <w:spacing w:line="280" w:lineRule="exact"/>
              <w:rPr>
                <w:szCs w:val="21"/>
              </w:rPr>
            </w:pPr>
            <w:r>
              <w:rPr>
                <w:rFonts w:hint="eastAsia"/>
                <w:szCs w:val="21"/>
              </w:rPr>
              <w:t>Q</w:t>
            </w:r>
            <w:r>
              <w:rPr>
                <w:szCs w:val="21"/>
              </w:rPr>
              <w:t>8.3</w:t>
            </w:r>
          </w:p>
        </w:tc>
        <w:tc>
          <w:tcPr>
            <w:tcW w:w="10004" w:type="dxa"/>
            <w:vAlign w:val="center"/>
          </w:tcPr>
          <w:p>
            <w:pPr>
              <w:spacing w:line="280" w:lineRule="exact"/>
              <w:ind w:firstLine="420" w:firstLineChars="200"/>
              <w:rPr>
                <w:rFonts w:ascii="宋体" w:hAnsi="宋体" w:cs="宋体"/>
                <w:kern w:val="0"/>
                <w:szCs w:val="21"/>
              </w:rPr>
            </w:pPr>
            <w:r>
              <w:rPr>
                <w:rFonts w:hint="eastAsia" w:ascii="宋体" w:hAnsi="宋体" w:cs="宋体"/>
                <w:kern w:val="0"/>
                <w:szCs w:val="21"/>
                <w:lang w:val="en-US" w:eastAsia="zh-CN"/>
              </w:rPr>
              <w:t>公司按《浙江省保安管理条例》执行规范服务规范，同时按合同要求执行服务提供，公司多年来管理成熟制度未发生较大的变化，该条款不适用，基本不影响服务提供</w:t>
            </w:r>
            <w:r>
              <w:rPr>
                <w:rFonts w:hint="eastAsia" w:ascii="宋体" w:hAnsi="宋体" w:cs="宋体"/>
                <w:kern w:val="0"/>
                <w:szCs w:val="21"/>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3" w:hRule="atLeast"/>
        </w:trPr>
        <w:tc>
          <w:tcPr>
            <w:tcW w:w="2160" w:type="dxa"/>
          </w:tcPr>
          <w:p>
            <w:pPr>
              <w:rPr>
                <w:rFonts w:ascii="宋体" w:hAnsi="宋体" w:cs="Arial"/>
                <w:szCs w:val="21"/>
              </w:rPr>
            </w:pPr>
            <w:r>
              <w:rPr>
                <w:rFonts w:hint="eastAsia" w:ascii="宋体" w:hAnsi="宋体" w:cs="Arial"/>
                <w:szCs w:val="21"/>
              </w:rPr>
              <w:t>产品和服务提供的控制</w:t>
            </w:r>
          </w:p>
          <w:p>
            <w:pPr>
              <w:rPr>
                <w:rFonts w:ascii="宋体" w:hAnsi="宋体" w:cs="Arial"/>
                <w:szCs w:val="21"/>
              </w:rPr>
            </w:pPr>
            <w:r>
              <w:rPr>
                <w:rFonts w:hint="eastAsia" w:ascii="宋体" w:hAnsi="宋体" w:cs="Arial"/>
                <w:szCs w:val="21"/>
              </w:rPr>
              <w:t>标识和追溯管理</w:t>
            </w:r>
          </w:p>
        </w:tc>
        <w:tc>
          <w:tcPr>
            <w:tcW w:w="960" w:type="dxa"/>
          </w:tcPr>
          <w:p>
            <w:pPr>
              <w:rPr>
                <w:rFonts w:ascii="宋体" w:hAnsi="宋体" w:cs="Arial"/>
                <w:szCs w:val="21"/>
              </w:rPr>
            </w:pPr>
            <w:r>
              <w:rPr>
                <w:rFonts w:hint="eastAsia" w:ascii="宋体" w:hAnsi="宋体" w:cs="Arial"/>
                <w:szCs w:val="21"/>
              </w:rPr>
              <w:t>Q:8.5.1</w:t>
            </w:r>
          </w:p>
          <w:p>
            <w:pPr>
              <w:rPr>
                <w:rFonts w:ascii="宋体" w:hAnsi="宋体" w:cs="Arial"/>
                <w:szCs w:val="21"/>
              </w:rPr>
            </w:pPr>
          </w:p>
          <w:p>
            <w:pPr>
              <w:rPr>
                <w:rFonts w:ascii="宋体" w:hAnsi="宋体" w:cs="Arial"/>
                <w:szCs w:val="21"/>
              </w:rPr>
            </w:pPr>
            <w:r>
              <w:rPr>
                <w:rFonts w:hint="eastAsia" w:ascii="宋体" w:hAnsi="宋体" w:cs="Arial"/>
                <w:szCs w:val="21"/>
              </w:rPr>
              <w:t>Q</w:t>
            </w:r>
            <w:r>
              <w:rPr>
                <w:rFonts w:ascii="宋体" w:hAnsi="宋体" w:cs="Arial"/>
                <w:szCs w:val="21"/>
              </w:rPr>
              <w:t>8.5.2</w:t>
            </w:r>
          </w:p>
          <w:p>
            <w:pPr>
              <w:rPr>
                <w:rFonts w:ascii="宋体" w:hAnsi="宋体" w:cs="Arial"/>
                <w:szCs w:val="21"/>
              </w:rPr>
            </w:pPr>
          </w:p>
          <w:p>
            <w:pPr>
              <w:rPr>
                <w:rFonts w:ascii="宋体" w:hAnsi="宋体" w:cs="Arial"/>
                <w:szCs w:val="21"/>
              </w:rPr>
            </w:pPr>
            <w:r>
              <w:rPr>
                <w:rFonts w:hint="eastAsia" w:ascii="宋体" w:hAnsi="宋体" w:cs="Arial"/>
                <w:szCs w:val="21"/>
              </w:rPr>
              <w:t>Q</w:t>
            </w:r>
            <w:r>
              <w:rPr>
                <w:rFonts w:ascii="宋体" w:hAnsi="宋体" w:cs="Arial"/>
                <w:szCs w:val="21"/>
              </w:rPr>
              <w:t>8.6</w:t>
            </w:r>
          </w:p>
          <w:p>
            <w:pPr>
              <w:rPr>
                <w:rFonts w:ascii="宋体" w:hAnsi="宋体" w:cs="Arial"/>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公司产品服务主要为</w:t>
            </w:r>
            <w:r>
              <w:rPr>
                <w:color w:val="000000"/>
                <w:szCs w:val="21"/>
              </w:rPr>
              <w:t>保安服务</w:t>
            </w:r>
            <w:r>
              <w:rPr>
                <w:rFonts w:hint="eastAsia"/>
                <w:color w:val="000000"/>
                <w:szCs w:val="21"/>
                <w:lang w:eastAsia="zh-CN"/>
              </w:rPr>
              <w:t>（门卫、巡逻、随身护卫、安全检查）</w:t>
            </w:r>
            <w:r>
              <w:rPr>
                <w:color w:val="000000"/>
                <w:szCs w:val="21"/>
              </w:rPr>
              <w:t>及相关活动</w:t>
            </w:r>
            <w:r>
              <w:rPr>
                <w:rFonts w:hint="eastAsia"/>
                <w:color w:val="000000"/>
                <w:szCs w:val="21"/>
              </w:rPr>
              <w:t>。</w:t>
            </w:r>
          </w:p>
          <w:p>
            <w:pPr>
              <w:spacing w:line="280" w:lineRule="exact"/>
              <w:ind w:left="420" w:leftChars="200"/>
              <w:rPr>
                <w:rFonts w:ascii="宋体" w:hAnsi="宋体" w:cs="宋体"/>
                <w:szCs w:val="21"/>
              </w:rPr>
            </w:pPr>
            <w:r>
              <w:rPr>
                <w:rFonts w:hint="eastAsia" w:ascii="宋体" w:hAnsi="宋体" w:cs="宋体"/>
                <w:szCs w:val="21"/>
              </w:rPr>
              <w:t>基本服务流程：</w:t>
            </w:r>
          </w:p>
          <w:p>
            <w:pPr>
              <w:spacing w:line="280" w:lineRule="exact"/>
              <w:ind w:left="420" w:leftChars="200"/>
              <w:rPr>
                <w:rFonts w:ascii="宋体" w:hAnsi="宋体" w:cs="宋体"/>
                <w:szCs w:val="21"/>
              </w:rPr>
            </w:pPr>
            <w:r>
              <w:rPr>
                <w:rFonts w:hint="eastAsia" w:ascii="宋体" w:hAnsi="宋体" w:cs="宋体"/>
                <w:szCs w:val="21"/>
              </w:rPr>
              <w:t>保安服务：签订保安服务合同评审</w:t>
            </w:r>
            <w:r>
              <w:rPr>
                <w:rFonts w:ascii="宋体" w:hAnsi="宋体" w:cs="宋体"/>
                <w:szCs w:val="21"/>
              </w:rPr>
              <w:sym w:font="Wingdings" w:char="F0E8"/>
            </w:r>
            <w:r>
              <w:rPr>
                <w:rFonts w:ascii="宋体" w:hAnsi="宋体" w:cs="宋体"/>
                <w:szCs w:val="21"/>
              </w:rPr>
              <w:t xml:space="preserve"> </w:t>
            </w:r>
            <w:r>
              <w:rPr>
                <w:rFonts w:hint="eastAsia" w:ascii="宋体" w:hAnsi="宋体" w:cs="宋体"/>
                <w:szCs w:val="21"/>
              </w:rPr>
              <w:t>签订保安服务合同</w:t>
            </w:r>
            <w:r>
              <w:rPr>
                <w:rFonts w:ascii="宋体" w:hAnsi="宋体" w:cs="宋体"/>
                <w:szCs w:val="21"/>
              </w:rPr>
              <w:sym w:font="Wingdings" w:char="F0E8"/>
            </w:r>
            <w:r>
              <w:rPr>
                <w:rFonts w:hint="eastAsia" w:ascii="宋体" w:hAnsi="宋体" w:cs="宋体"/>
                <w:szCs w:val="21"/>
              </w:rPr>
              <w:t>提供保安方案</w:t>
            </w:r>
            <w:r>
              <w:rPr>
                <w:rFonts w:ascii="宋体" w:hAnsi="宋体" w:cs="宋体"/>
                <w:szCs w:val="21"/>
              </w:rPr>
              <w:sym w:font="Wingdings" w:char="F0E8"/>
            </w:r>
            <w:r>
              <w:rPr>
                <w:rFonts w:hint="eastAsia" w:ascii="宋体" w:hAnsi="宋体" w:cs="宋体"/>
                <w:szCs w:val="21"/>
              </w:rPr>
              <w:t>提供保安服务</w:t>
            </w:r>
            <w:r>
              <w:rPr>
                <w:rFonts w:ascii="宋体" w:hAnsi="宋体" w:cs="宋体"/>
                <w:szCs w:val="21"/>
              </w:rPr>
              <w:sym w:font="Wingdings" w:char="F0E8"/>
            </w:r>
            <w:r>
              <w:rPr>
                <w:rFonts w:hint="eastAsia" w:ascii="宋体" w:hAnsi="宋体" w:cs="宋体"/>
                <w:szCs w:val="21"/>
              </w:rPr>
              <w:t>售后服务</w:t>
            </w:r>
          </w:p>
          <w:p>
            <w:pPr>
              <w:spacing w:line="280" w:lineRule="exact"/>
              <w:ind w:firstLine="420" w:firstLineChars="200"/>
              <w:rPr>
                <w:rFonts w:ascii="宋体" w:hAnsi="宋体" w:cs="宋体"/>
                <w:szCs w:val="21"/>
              </w:rPr>
            </w:pPr>
            <w:r>
              <w:rPr>
                <w:rFonts w:hint="eastAsia" w:ascii="宋体" w:hAnsi="宋体" w:cs="宋体"/>
                <w:szCs w:val="21"/>
              </w:rPr>
              <w:t>保安部按照策划的流程提供《与顾客有关过程管理程序》、《相关方管理办法》、《处置突发事故应急预案》、保安服务管理制度、保安巡逻管理制度、行为规范管理制度、物业门卫管理制度、小区物业保安规章制度等十多份作用指导文件。产品等信息标识主要见现场管理情况。</w:t>
            </w:r>
          </w:p>
          <w:p>
            <w:pPr>
              <w:spacing w:line="280" w:lineRule="exact"/>
              <w:ind w:firstLine="420" w:firstLineChars="200"/>
              <w:rPr>
                <w:rFonts w:ascii="宋体" w:hAnsi="宋体" w:cs="宋体"/>
                <w:szCs w:val="21"/>
              </w:rPr>
            </w:pPr>
            <w:r>
              <w:rPr>
                <w:rFonts w:hint="eastAsia" w:ascii="宋体" w:hAnsi="宋体" w:cs="宋体"/>
                <w:szCs w:val="21"/>
              </w:rPr>
              <w:t>抽查2</w:t>
            </w:r>
            <w:r>
              <w:rPr>
                <w:rFonts w:ascii="宋体" w:hAnsi="宋体" w:cs="宋体"/>
                <w:szCs w:val="21"/>
              </w:rPr>
              <w:t>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ascii="宋体" w:hAnsi="宋体" w:cs="宋体"/>
                <w:szCs w:val="21"/>
              </w:rPr>
              <w:t>2</w:t>
            </w:r>
            <w:r>
              <w:rPr>
                <w:rFonts w:hint="eastAsia" w:ascii="宋体" w:hAnsi="宋体" w:cs="宋体"/>
                <w:szCs w:val="21"/>
                <w:lang w:val="en-US" w:eastAsia="zh-CN"/>
              </w:rPr>
              <w:t>2</w:t>
            </w:r>
            <w:r>
              <w:rPr>
                <w:rFonts w:hint="eastAsia" w:ascii="宋体" w:hAnsi="宋体" w:cs="宋体"/>
                <w:szCs w:val="21"/>
              </w:rPr>
              <w:t>日</w:t>
            </w:r>
            <w:r>
              <w:rPr>
                <w:rFonts w:hint="eastAsia" w:ascii="宋体" w:hAnsi="宋体" w:cs="宋体"/>
                <w:szCs w:val="21"/>
                <w:lang w:val="en-US" w:eastAsia="zh-CN"/>
              </w:rPr>
              <w:t>与杭州师范大学附属医院</w:t>
            </w:r>
            <w:r>
              <w:rPr>
                <w:rFonts w:hint="eastAsia" w:ascii="宋体" w:hAnsi="宋体" w:cs="宋体"/>
                <w:szCs w:val="21"/>
              </w:rPr>
              <w:t>签订的保安服务合同执行情况。</w:t>
            </w:r>
          </w:p>
          <w:p>
            <w:pPr>
              <w:spacing w:line="280" w:lineRule="exact"/>
              <w:ind w:firstLine="420" w:firstLineChars="200"/>
              <w:rPr>
                <w:rFonts w:ascii="宋体" w:hAnsi="宋体" w:cs="宋体"/>
                <w:szCs w:val="21"/>
              </w:rPr>
            </w:pPr>
            <w:r>
              <w:rPr>
                <w:rFonts w:hint="eastAsia" w:ascii="宋体" w:hAnsi="宋体" w:cs="宋体"/>
                <w:szCs w:val="21"/>
              </w:rPr>
              <w:t>物业名称为</w:t>
            </w:r>
            <w:r>
              <w:rPr>
                <w:rFonts w:hint="eastAsia" w:ascii="宋体" w:hAnsi="宋体" w:cs="宋体"/>
                <w:szCs w:val="21"/>
                <w:lang w:val="en-US" w:eastAsia="zh-CN"/>
              </w:rPr>
              <w:t>杭州师范大学附属医院</w:t>
            </w:r>
            <w:r>
              <w:rPr>
                <w:rFonts w:hint="eastAsia" w:ascii="宋体" w:hAnsi="宋体" w:cs="宋体"/>
                <w:szCs w:val="21"/>
              </w:rPr>
              <w:t>安保</w:t>
            </w:r>
            <w:r>
              <w:rPr>
                <w:rFonts w:hint="eastAsia" w:ascii="宋体" w:hAnsi="宋体" w:cs="宋体"/>
                <w:szCs w:val="21"/>
                <w:lang w:val="en-US" w:eastAsia="zh-CN"/>
              </w:rPr>
              <w:t>服务</w:t>
            </w:r>
            <w:r>
              <w:rPr>
                <w:rFonts w:hint="eastAsia" w:ascii="宋体" w:hAnsi="宋体" w:cs="宋体"/>
                <w:szCs w:val="21"/>
              </w:rPr>
              <w:t>，服务场所为</w:t>
            </w:r>
            <w:r>
              <w:rPr>
                <w:rFonts w:hint="eastAsia" w:ascii="宋体" w:hAnsi="宋体" w:cs="宋体"/>
                <w:szCs w:val="21"/>
                <w:lang w:val="en-US" w:eastAsia="zh-CN"/>
              </w:rPr>
              <w:t>杭州市拱墅区温州路126号</w:t>
            </w:r>
            <w:r>
              <w:rPr>
                <w:rFonts w:hint="eastAsia" w:ascii="宋体" w:hAnsi="宋体" w:cs="宋体"/>
                <w:szCs w:val="21"/>
              </w:rPr>
              <w:t>，服务期限为2</w:t>
            </w:r>
            <w:r>
              <w:rPr>
                <w:rFonts w:ascii="宋体" w:hAnsi="宋体" w:cs="宋体"/>
                <w:szCs w:val="21"/>
              </w:rPr>
              <w:t>02</w:t>
            </w:r>
            <w:r>
              <w:rPr>
                <w:rFonts w:hint="eastAsia" w:ascii="宋体" w:hAnsi="宋体" w:cs="宋体"/>
                <w:szCs w:val="21"/>
                <w:lang w:val="en-US" w:eastAsia="zh-CN"/>
              </w:rPr>
              <w:t>1</w:t>
            </w:r>
            <w:r>
              <w:rPr>
                <w:rFonts w:ascii="宋体" w:hAnsi="宋体" w:cs="宋体"/>
                <w:szCs w:val="21"/>
              </w:rPr>
              <w:t>.</w:t>
            </w:r>
            <w:r>
              <w:rPr>
                <w:rFonts w:hint="eastAsia" w:ascii="宋体" w:hAnsi="宋体" w:cs="宋体"/>
                <w:szCs w:val="21"/>
                <w:lang w:val="en-US" w:eastAsia="zh-CN"/>
              </w:rPr>
              <w:t>6</w:t>
            </w:r>
            <w:r>
              <w:rPr>
                <w:rFonts w:ascii="宋体" w:hAnsi="宋体" w:cs="宋体"/>
                <w:szCs w:val="21"/>
              </w:rPr>
              <w:t>.</w:t>
            </w:r>
            <w:r>
              <w:rPr>
                <w:rFonts w:hint="eastAsia" w:ascii="宋体" w:hAnsi="宋体" w:cs="宋体"/>
                <w:szCs w:val="21"/>
                <w:lang w:val="en-US" w:eastAsia="zh-CN"/>
              </w:rPr>
              <w:t>24</w:t>
            </w:r>
            <w:r>
              <w:rPr>
                <w:rFonts w:hint="eastAsia" w:ascii="宋体" w:hAnsi="宋体" w:cs="宋体"/>
                <w:szCs w:val="21"/>
              </w:rPr>
              <w:t>至2</w:t>
            </w:r>
            <w:r>
              <w:rPr>
                <w:rFonts w:ascii="宋体" w:hAnsi="宋体" w:cs="宋体"/>
                <w:szCs w:val="21"/>
              </w:rPr>
              <w:t>02</w:t>
            </w:r>
            <w:r>
              <w:rPr>
                <w:rFonts w:hint="eastAsia" w:ascii="宋体" w:hAnsi="宋体" w:cs="宋体"/>
                <w:szCs w:val="21"/>
                <w:lang w:val="en-US" w:eastAsia="zh-CN"/>
              </w:rPr>
              <w:t>2</w:t>
            </w:r>
            <w:r>
              <w:rPr>
                <w:rFonts w:ascii="宋体" w:hAnsi="宋体" w:cs="宋体"/>
                <w:szCs w:val="21"/>
              </w:rPr>
              <w:t>.</w:t>
            </w:r>
            <w:r>
              <w:rPr>
                <w:rFonts w:hint="eastAsia" w:ascii="宋体" w:hAnsi="宋体" w:cs="宋体"/>
                <w:szCs w:val="21"/>
                <w:lang w:val="en-US" w:eastAsia="zh-CN"/>
              </w:rPr>
              <w:t>6</w:t>
            </w:r>
            <w:r>
              <w:rPr>
                <w:rFonts w:ascii="宋体" w:hAnsi="宋体" w:cs="宋体"/>
                <w:szCs w:val="21"/>
              </w:rPr>
              <w:t>.</w:t>
            </w:r>
            <w:r>
              <w:rPr>
                <w:rFonts w:hint="eastAsia" w:ascii="宋体" w:hAnsi="宋体" w:cs="宋体"/>
                <w:szCs w:val="21"/>
                <w:lang w:val="en-US" w:eastAsia="zh-CN"/>
              </w:rPr>
              <w:t>23</w:t>
            </w:r>
            <w:r>
              <w:rPr>
                <w:rFonts w:hint="eastAsia" w:ascii="宋体" w:hAnsi="宋体" w:cs="宋体"/>
                <w:szCs w:val="21"/>
              </w:rPr>
              <w:t>日。明确了主要提供门卫保安，三班制，并明确了保安人数、服务要求、服务费用，并明确了保安设施设备管理和使用等要求。</w:t>
            </w:r>
          </w:p>
          <w:p>
            <w:pPr>
              <w:spacing w:line="280" w:lineRule="exact"/>
              <w:ind w:firstLine="420" w:firstLineChars="200"/>
              <w:rPr>
                <w:rFonts w:ascii="宋体" w:hAnsi="宋体" w:cs="宋体"/>
                <w:szCs w:val="21"/>
              </w:rPr>
            </w:pPr>
            <w:r>
              <w:rPr>
                <w:rFonts w:hint="eastAsia" w:ascii="宋体" w:hAnsi="宋体" w:cs="宋体"/>
                <w:szCs w:val="21"/>
              </w:rPr>
              <w:t>提供了门卫保安服务方案，确定了服务的目的，保安人数，人员资质，排班日程，异常联系等信息。基本涵盖需要提供的保安服务内容。抽查保安人员名单，抽查保安人员3人，均按照合同进行了人员政治状况、身体素质、行为情况等评价，并经相应的上岗培训，持有有资质证书。根据方案，提供了保安服购置合同。</w:t>
            </w:r>
          </w:p>
          <w:p>
            <w:pPr>
              <w:spacing w:line="280" w:lineRule="exact"/>
              <w:ind w:firstLine="420" w:firstLineChars="200"/>
              <w:rPr>
                <w:rFonts w:hint="eastAsia" w:ascii="宋体" w:hAnsi="宋体" w:cs="宋体"/>
                <w:szCs w:val="21"/>
              </w:rPr>
            </w:pPr>
            <w:r>
              <w:rPr>
                <w:rFonts w:hint="eastAsia"/>
                <w:szCs w:val="21"/>
              </w:rPr>
              <w:t>对服务过程进行了记录。包括项目基本信息，及保安要求等，提供了保安服务过程的照片，但对服务过程描述较为简单。最后形成了保安结算的的明细等。监督巡查为2</w:t>
            </w:r>
            <w:r>
              <w:rPr>
                <w:szCs w:val="21"/>
              </w:rPr>
              <w:t>02</w:t>
            </w:r>
            <w:r>
              <w:rPr>
                <w:rFonts w:hint="eastAsia"/>
                <w:szCs w:val="21"/>
                <w:lang w:val="en-US" w:eastAsia="zh-CN"/>
              </w:rPr>
              <w:t>1</w:t>
            </w:r>
            <w:r>
              <w:rPr>
                <w:rFonts w:hint="eastAsia"/>
                <w:szCs w:val="21"/>
              </w:rPr>
              <w:t>年</w:t>
            </w:r>
            <w:r>
              <w:rPr>
                <w:rFonts w:hint="eastAsia"/>
                <w:szCs w:val="21"/>
                <w:lang w:val="en-US" w:eastAsia="zh-CN"/>
              </w:rPr>
              <w:t>7</w:t>
            </w:r>
            <w:r>
              <w:rPr>
                <w:rFonts w:hint="eastAsia"/>
                <w:szCs w:val="21"/>
              </w:rPr>
              <w:t>月2</w:t>
            </w:r>
            <w:r>
              <w:rPr>
                <w:szCs w:val="21"/>
              </w:rPr>
              <w:t>8</w:t>
            </w:r>
            <w:r>
              <w:rPr>
                <w:rFonts w:hint="eastAsia"/>
                <w:szCs w:val="21"/>
              </w:rPr>
              <w:t>日，报告人为</w:t>
            </w:r>
            <w:r>
              <w:rPr>
                <w:rFonts w:hint="eastAsia"/>
                <w:szCs w:val="21"/>
                <w:lang w:eastAsia="zh-CN"/>
              </w:rPr>
              <w:t>彭玮</w:t>
            </w:r>
            <w:r>
              <w:rPr>
                <w:rFonts w:hint="eastAsia"/>
                <w:szCs w:val="21"/>
              </w:rPr>
              <w:t>。</w:t>
            </w:r>
          </w:p>
          <w:p>
            <w:pPr>
              <w:spacing w:line="280" w:lineRule="exact"/>
              <w:ind w:firstLine="420" w:firstLineChars="200"/>
              <w:rPr>
                <w:rFonts w:hint="eastAsia" w:ascii="宋体" w:hAnsi="宋体" w:cs="宋体"/>
                <w:szCs w:val="21"/>
              </w:rPr>
            </w:pPr>
            <w:r>
              <w:rPr>
                <w:rFonts w:hint="eastAsia" w:ascii="宋体" w:hAnsi="宋体" w:cs="宋体"/>
                <w:szCs w:val="21"/>
              </w:rPr>
              <w:t>现场服务情况，见分现场审核记录。</w:t>
            </w:r>
          </w:p>
          <w:p>
            <w:pPr>
              <w:ind w:firstLine="420" w:firstLineChars="200"/>
              <w:rPr>
                <w:szCs w:val="21"/>
              </w:rPr>
            </w:pPr>
            <w:r>
              <w:rPr>
                <w:rFonts w:hint="eastAsia"/>
                <w:szCs w:val="21"/>
              </w:rPr>
              <w:t>项目服务过程及完成后，公司会及时安排相关满意信息的收集和汇总。抽查了该项目保安服务满意度调查，包括安保质量、仪容仪表、日常巡查、服务等项目，经评测，该组织满意度为9</w:t>
            </w:r>
            <w:r>
              <w:rPr>
                <w:szCs w:val="21"/>
              </w:rPr>
              <w:t>8</w:t>
            </w:r>
            <w:r>
              <w:rPr>
                <w:rFonts w:hint="eastAsia"/>
                <w:szCs w:val="21"/>
              </w:rPr>
              <w:t>分。满意程度较高。</w:t>
            </w:r>
          </w:p>
          <w:p>
            <w:pPr>
              <w:spacing w:line="280" w:lineRule="exact"/>
              <w:ind w:firstLine="420" w:firstLineChars="200"/>
              <w:rPr>
                <w:color w:val="000000"/>
                <w:szCs w:val="21"/>
              </w:rPr>
            </w:pPr>
            <w:r>
              <w:rPr>
                <w:rFonts w:hint="eastAsia"/>
                <w:szCs w:val="21"/>
              </w:rPr>
              <w:t>另外抽查</w:t>
            </w:r>
            <w:r>
              <w:rPr>
                <w:szCs w:val="21"/>
              </w:rPr>
              <w:t>3</w:t>
            </w:r>
            <w:r>
              <w:rPr>
                <w:rFonts w:hint="eastAsia"/>
                <w:szCs w:val="21"/>
              </w:rPr>
              <w:t>个</w:t>
            </w:r>
            <w:r>
              <w:rPr>
                <w:color w:val="000000"/>
                <w:szCs w:val="21"/>
              </w:rPr>
              <w:t>保安服务</w:t>
            </w:r>
            <w:r>
              <w:rPr>
                <w:rFonts w:hint="eastAsia"/>
                <w:color w:val="000000"/>
                <w:szCs w:val="21"/>
                <w:lang w:eastAsia="zh-CN"/>
              </w:rPr>
              <w:t>（门卫、巡逻、随身护卫、安全检查）</w:t>
            </w:r>
            <w:r>
              <w:rPr>
                <w:color w:val="000000"/>
                <w:szCs w:val="21"/>
              </w:rPr>
              <w:t>及相关活动</w:t>
            </w:r>
            <w:r>
              <w:rPr>
                <w:rFonts w:hint="eastAsia"/>
                <w:color w:val="000000"/>
                <w:szCs w:val="21"/>
              </w:rPr>
              <w:t>服务，管理基本与前面一致，基本符合。</w:t>
            </w:r>
          </w:p>
          <w:p>
            <w:pPr>
              <w:spacing w:line="280" w:lineRule="exact"/>
              <w:ind w:firstLine="420" w:firstLineChars="200"/>
              <w:rPr>
                <w:rFonts w:hint="eastAsia"/>
                <w:szCs w:val="21"/>
                <w:lang w:val="en-US" w:eastAsia="zh-CN"/>
              </w:rPr>
            </w:pPr>
            <w:r>
              <w:rPr>
                <w:rFonts w:hint="eastAsia"/>
                <w:szCs w:val="21"/>
                <w:lang w:val="en-US" w:eastAsia="zh-CN"/>
              </w:rPr>
              <w:t xml:space="preserve">安保服务过程为所需确认的过程，确认的因素有：人员资格证、在岗情况、巡逻记录； 需要评价的内容有：安全管理、日常管理、服务意识服务态度、工作责任心、主动性、服务特色和满意率； 并给出了考核方案； </w:t>
            </w:r>
          </w:p>
          <w:p>
            <w:pPr>
              <w:spacing w:line="280" w:lineRule="exact"/>
              <w:ind w:firstLine="420" w:firstLineChars="200"/>
              <w:rPr>
                <w:rFonts w:hint="eastAsia"/>
                <w:szCs w:val="21"/>
                <w:lang w:val="en-US" w:eastAsia="zh-CN"/>
              </w:rPr>
            </w:pPr>
            <w:r>
              <w:rPr>
                <w:rFonts w:hint="eastAsia"/>
                <w:szCs w:val="21"/>
                <w:lang w:val="en-US" w:eastAsia="zh-CN"/>
              </w:rPr>
              <w:t>现场抽查保安人员资质：邵敏祥，取证日期：2020-6月，证件编号：浙012020905531，发证机关：杭州市公安局； 刘亚龙，取证日期：2018-07，证件编号：浙012018950284，发证机关：发证机关：杭州市公安局；宋立枫，取证日期：2020-07，证件编号：浙012020908940，发证机关：杭州市公安局。</w:t>
            </w:r>
          </w:p>
          <w:p>
            <w:pPr>
              <w:spacing w:line="280" w:lineRule="exact"/>
              <w:ind w:firstLine="420" w:firstLineChars="200"/>
              <w:rPr>
                <w:rFonts w:hint="eastAsia"/>
                <w:szCs w:val="21"/>
                <w:lang w:val="en-US" w:eastAsia="zh-CN"/>
              </w:rPr>
            </w:pPr>
            <w:r>
              <w:rPr>
                <w:rFonts w:hint="eastAsia"/>
                <w:szCs w:val="21"/>
                <w:lang w:val="en-US" w:eastAsia="zh-CN"/>
              </w:rPr>
              <w:t xml:space="preserve">提供《执勤驻点督查情况登记表》对保安服务过程的监督，保障日常安保服务质量。登记表有督察员、执勤点、日期、时间、督察项目、履职情况、队员意见、当班保安签名、陪同检查队长签名等信息； </w:t>
            </w:r>
          </w:p>
          <w:p>
            <w:pPr>
              <w:spacing w:line="280" w:lineRule="exact"/>
              <w:ind w:firstLine="420" w:firstLineChars="200"/>
              <w:rPr>
                <w:rFonts w:hint="eastAsia"/>
                <w:szCs w:val="21"/>
                <w:lang w:val="en-US" w:eastAsia="zh-CN"/>
              </w:rPr>
            </w:pPr>
            <w:r>
              <w:rPr>
                <w:rFonts w:hint="eastAsia"/>
                <w:szCs w:val="21"/>
                <w:lang w:val="en-US" w:eastAsia="zh-CN"/>
              </w:rPr>
              <w:t xml:space="preserve">查2021.4.11登记表，执勤点：春风动力； 时间：9：15； 督察项目填写完整，有履职情况说明、队员意见、签名等； </w:t>
            </w:r>
          </w:p>
          <w:p>
            <w:pPr>
              <w:spacing w:line="280" w:lineRule="exact"/>
              <w:ind w:firstLine="420" w:firstLineChars="200"/>
              <w:rPr>
                <w:rFonts w:hint="eastAsia"/>
                <w:szCs w:val="21"/>
                <w:lang w:val="en-US" w:eastAsia="zh-CN"/>
              </w:rPr>
            </w:pPr>
            <w:r>
              <w:rPr>
                <w:rFonts w:hint="eastAsia"/>
                <w:szCs w:val="21"/>
                <w:lang w:val="en-US" w:eastAsia="zh-CN"/>
              </w:rPr>
              <w:t xml:space="preserve">查2021.6.30登记表，执勤点：杭师大附属医院，时间：15：30，督察项目填写完整，有履职情况说明、队员意见、签名等； </w:t>
            </w:r>
          </w:p>
          <w:p>
            <w:pPr>
              <w:spacing w:line="280" w:lineRule="exact"/>
              <w:ind w:firstLine="420" w:firstLineChars="200"/>
              <w:rPr>
                <w:rFonts w:hint="default"/>
                <w:szCs w:val="21"/>
                <w:lang w:val="en-US" w:eastAsia="zh-CN"/>
              </w:rPr>
            </w:pPr>
          </w:p>
        </w:tc>
        <w:tc>
          <w:tcPr>
            <w:tcW w:w="1585" w:type="dxa"/>
          </w:tcPr>
          <w:p>
            <w:r>
              <w:rPr>
                <w:rFonts w:hint="eastAsia"/>
              </w:rPr>
              <w:t>Y</w:t>
            </w:r>
          </w:p>
          <w:p/>
          <w:p/>
          <w:p/>
          <w:p/>
          <w:p/>
          <w:p/>
          <w:p/>
          <w:p/>
          <w:p/>
          <w:p/>
          <w:p/>
          <w:p/>
          <w:p/>
          <w:p/>
          <w:p/>
          <w:p/>
          <w:p/>
          <w:p/>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ascii="宋体" w:hAnsi="宋体" w:cs="Arial"/>
                <w:szCs w:val="21"/>
              </w:rPr>
            </w:pPr>
            <w:r>
              <w:rPr>
                <w:rFonts w:hint="eastAsia" w:ascii="宋体" w:hAnsi="宋体" w:cs="Arial"/>
                <w:szCs w:val="21"/>
              </w:rPr>
              <w:t>顾客及外部供方财产</w:t>
            </w:r>
          </w:p>
        </w:tc>
        <w:tc>
          <w:tcPr>
            <w:tcW w:w="960" w:type="dxa"/>
          </w:tcPr>
          <w:p>
            <w:pPr>
              <w:rPr>
                <w:rFonts w:ascii="宋体" w:hAnsi="宋体" w:cs="Arial"/>
                <w:szCs w:val="21"/>
              </w:rPr>
            </w:pPr>
            <w:r>
              <w:rPr>
                <w:rFonts w:hint="eastAsia" w:ascii="宋体" w:hAnsi="宋体" w:cs="Arial"/>
                <w:szCs w:val="21"/>
              </w:rPr>
              <w:t>Q</w:t>
            </w:r>
            <w:r>
              <w:rPr>
                <w:rFonts w:ascii="宋体" w:hAnsi="宋体" w:cs="Arial"/>
                <w:szCs w:val="21"/>
              </w:rPr>
              <w:t>8.5.3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公司提供的主要为</w:t>
            </w:r>
            <w:r>
              <w:rPr>
                <w:color w:val="000000"/>
                <w:szCs w:val="21"/>
              </w:rPr>
              <w:t>保安服务</w:t>
            </w:r>
            <w:r>
              <w:rPr>
                <w:rFonts w:hint="eastAsia"/>
                <w:color w:val="000000"/>
                <w:szCs w:val="21"/>
                <w:lang w:eastAsia="zh-CN"/>
              </w:rPr>
              <w:t>（门卫、巡逻、随身护卫、安全检查）</w:t>
            </w:r>
            <w:r>
              <w:rPr>
                <w:color w:val="000000"/>
                <w:szCs w:val="21"/>
              </w:rPr>
              <w:t>及相关活动</w:t>
            </w:r>
            <w:r>
              <w:rPr>
                <w:rFonts w:hint="eastAsia"/>
                <w:color w:val="000000"/>
                <w:szCs w:val="21"/>
              </w:rPr>
              <w:t>，在客户现场及客户财产上完成，因此对客户财产的妥善使用和管理也是属于服务管理中一部分，截止目前从服务情况报告以及客户反馈等信息中未发现使用和管理不当造成问题的情况。</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60" w:type="dxa"/>
          </w:tcPr>
          <w:p>
            <w:pPr>
              <w:rPr>
                <w:rFonts w:ascii="宋体" w:hAnsi="宋体" w:cs="Arial"/>
                <w:szCs w:val="21"/>
              </w:rPr>
            </w:pPr>
            <w:r>
              <w:rPr>
                <w:rFonts w:hint="eastAsia" w:ascii="宋体" w:hAnsi="宋体" w:cs="Arial"/>
                <w:szCs w:val="21"/>
              </w:rPr>
              <w:t>产品防护及服务交付后的活动</w:t>
            </w:r>
          </w:p>
        </w:tc>
        <w:tc>
          <w:tcPr>
            <w:tcW w:w="960" w:type="dxa"/>
          </w:tcPr>
          <w:p>
            <w:pPr>
              <w:rPr>
                <w:rFonts w:ascii="宋体" w:hAnsi="宋体" w:cs="Arial"/>
                <w:szCs w:val="21"/>
              </w:rPr>
            </w:pPr>
            <w:r>
              <w:rPr>
                <w:rFonts w:hint="eastAsia" w:ascii="宋体" w:hAnsi="宋体" w:cs="Arial"/>
                <w:szCs w:val="21"/>
              </w:rPr>
              <w:t>Q</w:t>
            </w:r>
            <w:r>
              <w:rPr>
                <w:rFonts w:ascii="宋体" w:hAnsi="宋体" w:cs="Arial"/>
                <w:szCs w:val="21"/>
              </w:rPr>
              <w:t>8.5.4</w:t>
            </w:r>
          </w:p>
          <w:p>
            <w:pPr>
              <w:rPr>
                <w:rFonts w:ascii="宋体" w:hAnsi="宋体" w:cs="Arial"/>
                <w:szCs w:val="21"/>
              </w:rPr>
            </w:pPr>
            <w:r>
              <w:rPr>
                <w:rFonts w:hint="eastAsia" w:ascii="宋体" w:hAnsi="宋体" w:cs="Arial"/>
                <w:szCs w:val="21"/>
              </w:rPr>
              <w:t>Q</w:t>
            </w:r>
            <w:r>
              <w:rPr>
                <w:rFonts w:ascii="宋体" w:hAnsi="宋体" w:cs="Arial"/>
                <w:szCs w:val="21"/>
              </w:rPr>
              <w:t>8.5.5</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保安部一方面做好自身防护，另外一方面主要做好保安服务过程中对顾客财产等防护。询问保安部表示，对保安和维保人员等会通过教育培训，提供安全防护（头盔、安全带、防护手套、工作靴）等方式进行防护。对客户的提供保安服务过程等做好小心轻放、稳拿稳放等确保产品不损坏。</w:t>
            </w:r>
          </w:p>
          <w:p>
            <w:pPr>
              <w:spacing w:line="280" w:lineRule="exact"/>
              <w:ind w:firstLine="420" w:firstLineChars="200"/>
              <w:rPr>
                <w:rFonts w:ascii="宋体" w:hAnsi="宋体" w:cs="宋体"/>
                <w:szCs w:val="21"/>
              </w:rPr>
            </w:pPr>
            <w:r>
              <w:rPr>
                <w:rFonts w:hint="eastAsia" w:ascii="宋体" w:hAnsi="宋体" w:cs="宋体"/>
                <w:szCs w:val="21"/>
              </w:rPr>
              <w:t>服务完成后，保安部主要做好客户信息的处置，按照信息沟通程序等做好沟通。</w:t>
            </w:r>
          </w:p>
          <w:p>
            <w:pPr>
              <w:spacing w:line="280" w:lineRule="exact"/>
              <w:ind w:firstLine="420" w:firstLineChars="200"/>
              <w:rPr>
                <w:rFonts w:ascii="宋体" w:hAnsi="宋体" w:cs="宋体"/>
                <w:szCs w:val="21"/>
              </w:rPr>
            </w:pPr>
            <w:r>
              <w:rPr>
                <w:rFonts w:hint="eastAsia" w:ascii="宋体" w:hAnsi="宋体" w:cs="宋体"/>
                <w:szCs w:val="21"/>
              </w:rPr>
              <w:t>截止目前没有发生交付后客户投诉的情况。</w:t>
            </w:r>
          </w:p>
        </w:tc>
        <w:tc>
          <w:tcPr>
            <w:tcW w:w="1585"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ascii="宋体" w:hAnsi="宋体" w:cs="Arial"/>
                <w:szCs w:val="21"/>
              </w:rPr>
            </w:pPr>
            <w:r>
              <w:rPr>
                <w:rFonts w:hint="eastAsia" w:ascii="宋体" w:hAnsi="宋体" w:cs="Arial"/>
                <w:szCs w:val="21"/>
              </w:rPr>
              <w:t>变更管理</w:t>
            </w:r>
          </w:p>
        </w:tc>
        <w:tc>
          <w:tcPr>
            <w:tcW w:w="960" w:type="dxa"/>
          </w:tcPr>
          <w:p>
            <w:pPr>
              <w:rPr>
                <w:rFonts w:ascii="宋体" w:hAnsi="宋体" w:cs="Arial"/>
                <w:szCs w:val="21"/>
              </w:rPr>
            </w:pPr>
            <w:r>
              <w:rPr>
                <w:rFonts w:hint="eastAsia" w:ascii="宋体" w:hAnsi="宋体" w:cs="Arial"/>
                <w:szCs w:val="21"/>
              </w:rPr>
              <w:t>Q</w:t>
            </w:r>
            <w:r>
              <w:rPr>
                <w:rFonts w:ascii="宋体" w:hAnsi="宋体" w:cs="Arial"/>
                <w:szCs w:val="21"/>
              </w:rPr>
              <w:t>8.5.6</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组织在手册中明确变更管理的要求，询问保安部表示目前服务基本能够按照合同或约定履行，对一些服务过程中特定的要求，比如客户提出的特定的保安维护要求等，一般直接现场进行处置，未发生重大的变更。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ascii="宋体" w:hAnsi="宋体" w:cs="Arial"/>
                <w:szCs w:val="21"/>
              </w:rPr>
            </w:pPr>
            <w:r>
              <w:rPr>
                <w:rFonts w:hint="eastAsia" w:ascii="宋体" w:hAnsi="宋体" w:cs="Arial"/>
                <w:szCs w:val="21"/>
              </w:rPr>
              <w:t>放行</w:t>
            </w:r>
          </w:p>
          <w:p>
            <w:pPr>
              <w:rPr>
                <w:rFonts w:ascii="宋体" w:hAnsi="宋体" w:cs="Arial"/>
                <w:szCs w:val="21"/>
              </w:rPr>
            </w:pPr>
            <w:r>
              <w:rPr>
                <w:rFonts w:hint="eastAsia" w:ascii="宋体" w:hAnsi="宋体" w:cs="Arial"/>
                <w:szCs w:val="21"/>
              </w:rPr>
              <w:t>不合格输出管理</w:t>
            </w:r>
          </w:p>
          <w:p>
            <w:pPr>
              <w:rPr>
                <w:rFonts w:ascii="宋体" w:hAnsi="宋体" w:cs="Arial"/>
                <w:szCs w:val="21"/>
              </w:rPr>
            </w:pPr>
          </w:p>
          <w:p>
            <w:pPr>
              <w:rPr>
                <w:rFonts w:ascii="宋体" w:hAnsi="宋体" w:cs="Arial"/>
                <w:szCs w:val="21"/>
              </w:rPr>
            </w:pPr>
          </w:p>
          <w:p>
            <w:pPr>
              <w:rPr>
                <w:rFonts w:ascii="宋体" w:hAnsi="宋体" w:cs="Arial"/>
                <w:szCs w:val="21"/>
              </w:rPr>
            </w:pPr>
            <w:r>
              <w:rPr>
                <w:rFonts w:hint="eastAsia" w:ascii="宋体" w:hAnsi="宋体" w:cs="Arial"/>
                <w:szCs w:val="21"/>
              </w:rPr>
              <w:t>标识和可追溯性管理</w:t>
            </w:r>
          </w:p>
        </w:tc>
        <w:tc>
          <w:tcPr>
            <w:tcW w:w="960" w:type="dxa"/>
          </w:tcPr>
          <w:p>
            <w:pPr>
              <w:rPr>
                <w:rFonts w:ascii="宋体" w:hAnsi="宋体" w:cs="Arial"/>
                <w:szCs w:val="21"/>
              </w:rPr>
            </w:pPr>
            <w:r>
              <w:rPr>
                <w:rFonts w:hint="eastAsia" w:ascii="宋体" w:hAnsi="宋体" w:cs="Arial"/>
                <w:szCs w:val="21"/>
              </w:rPr>
              <w:t>Q</w:t>
            </w:r>
            <w:r>
              <w:rPr>
                <w:rFonts w:ascii="宋体" w:hAnsi="宋体" w:cs="Arial"/>
                <w:szCs w:val="21"/>
              </w:rPr>
              <w:t>8.6</w:t>
            </w:r>
          </w:p>
          <w:p>
            <w:pPr>
              <w:rPr>
                <w:rFonts w:ascii="宋体" w:hAnsi="宋体" w:cs="Arial"/>
                <w:szCs w:val="21"/>
              </w:rPr>
            </w:pPr>
            <w:r>
              <w:rPr>
                <w:rFonts w:hint="eastAsia" w:ascii="宋体" w:hAnsi="宋体" w:cs="Arial"/>
                <w:szCs w:val="21"/>
              </w:rPr>
              <w:t>Q</w:t>
            </w:r>
            <w:r>
              <w:rPr>
                <w:rFonts w:ascii="宋体" w:hAnsi="宋体" w:cs="Arial"/>
                <w:szCs w:val="21"/>
              </w:rPr>
              <w:t>8.7</w:t>
            </w:r>
          </w:p>
          <w:p>
            <w:pPr>
              <w:rPr>
                <w:rFonts w:ascii="宋体" w:hAnsi="宋体" w:cs="Arial"/>
                <w:szCs w:val="21"/>
              </w:rPr>
            </w:pPr>
          </w:p>
          <w:p>
            <w:pPr>
              <w:rPr>
                <w:rFonts w:ascii="宋体" w:hAnsi="宋体" w:cs="Arial"/>
                <w:szCs w:val="21"/>
              </w:rPr>
            </w:pPr>
          </w:p>
          <w:p>
            <w:pPr>
              <w:rPr>
                <w:rFonts w:ascii="宋体" w:hAnsi="宋体" w:cs="Arial"/>
                <w:szCs w:val="21"/>
              </w:rPr>
            </w:pPr>
            <w:r>
              <w:rPr>
                <w:rFonts w:hint="eastAsia" w:ascii="宋体" w:hAnsi="宋体" w:cs="Arial"/>
                <w:szCs w:val="21"/>
              </w:rPr>
              <w:t>Q</w:t>
            </w:r>
            <w:r>
              <w:rPr>
                <w:rFonts w:ascii="宋体" w:hAnsi="宋体" w:cs="Arial"/>
                <w:szCs w:val="21"/>
              </w:rPr>
              <w:t>8.5.2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因服务的特殊性，放行过程与保安服务过程基本同步开展，一般不做单独专项验收，通过工资结算等方式进行确认。组织主要通过日常检查、不定期抽查等方式，对保安服务提供过程进行检查和监督。</w:t>
            </w:r>
          </w:p>
          <w:p>
            <w:pPr>
              <w:spacing w:line="280" w:lineRule="exact"/>
              <w:ind w:firstLine="420" w:firstLineChars="200"/>
              <w:rPr>
                <w:rFonts w:hint="default" w:ascii="宋体" w:hAnsi="宋体" w:eastAsia="宋体" w:cs="宋体"/>
                <w:szCs w:val="21"/>
                <w:lang w:val="en-US" w:eastAsia="zh-CN"/>
              </w:rPr>
            </w:pPr>
            <w:r>
              <w:rPr>
                <w:rFonts w:hint="eastAsia"/>
                <w:szCs w:val="21"/>
              </w:rPr>
              <w:t>查针对</w:t>
            </w:r>
            <w:r>
              <w:rPr>
                <w:rFonts w:hint="eastAsia"/>
                <w:szCs w:val="21"/>
                <w:lang w:val="en-US" w:eastAsia="zh-CN"/>
              </w:rPr>
              <w:t>杭州师范大学附属医院</w:t>
            </w:r>
            <w:r>
              <w:rPr>
                <w:rFonts w:hint="eastAsia" w:ascii="宋体" w:hAnsi="宋体" w:cs="宋体"/>
                <w:szCs w:val="21"/>
              </w:rPr>
              <w:t>的日常检查情况，提供了日常检查记录。记录显示均为正常，记录人为</w:t>
            </w:r>
            <w:r>
              <w:rPr>
                <w:rFonts w:hint="eastAsia" w:ascii="宋体" w:hAnsi="宋体" w:cs="宋体"/>
                <w:szCs w:val="21"/>
                <w:lang w:eastAsia="zh-CN"/>
              </w:rPr>
              <w:t>彭玮</w:t>
            </w:r>
            <w:r>
              <w:rPr>
                <w:rFonts w:hint="eastAsia" w:ascii="宋体" w:hAnsi="宋体" w:cs="宋体"/>
                <w:szCs w:val="21"/>
              </w:rPr>
              <w:t>等人。</w:t>
            </w:r>
            <w:r>
              <w:rPr>
                <w:rFonts w:hint="eastAsia" w:ascii="宋体" w:hAnsi="宋体" w:cs="宋体"/>
                <w:szCs w:val="21"/>
                <w:lang w:val="en-US" w:eastAsia="zh-CN"/>
              </w:rPr>
              <w:t>对查到的不合格服务过程，开出《处罚通知单》，并进行教育，持续保证服务质量。</w:t>
            </w:r>
          </w:p>
          <w:p>
            <w:pPr>
              <w:spacing w:line="280" w:lineRule="exact"/>
              <w:ind w:firstLine="420" w:firstLineChars="200"/>
              <w:rPr>
                <w:rFonts w:hint="eastAsia"/>
                <w:szCs w:val="21"/>
              </w:rPr>
            </w:pPr>
            <w:r>
              <w:rPr>
                <w:rFonts w:hint="eastAsia" w:ascii="宋体" w:hAnsi="宋体" w:cs="宋体"/>
                <w:szCs w:val="21"/>
              </w:rPr>
              <w:t>公司主要做好相关的巡查记录、日常交接班记录、失物登记记录、门岗登记表等，记录了人员信息、事由、联系方式等信息，对进出人员、物品等进行管理，一旦发生问题，能够及时实现追溯。</w:t>
            </w:r>
          </w:p>
          <w:p>
            <w:pPr>
              <w:spacing w:line="280" w:lineRule="exact"/>
              <w:ind w:firstLine="420" w:firstLineChars="200"/>
              <w:rPr>
                <w:rFonts w:ascii="宋体" w:hAnsi="宋体" w:cs="宋体"/>
                <w:szCs w:val="21"/>
              </w:rPr>
            </w:pPr>
            <w:r>
              <w:rPr>
                <w:rFonts w:hint="eastAsia" w:ascii="宋体" w:hAnsi="宋体" w:cs="宋体"/>
                <w:szCs w:val="21"/>
              </w:rPr>
              <w:t>日常未发生不符合或者被投诉的情况，如有发生投诉，一般会反馈到保安部。询问李经理，体系运行以来，没有发生不符合的情况。</w:t>
            </w:r>
          </w:p>
        </w:tc>
        <w:tc>
          <w:tcPr>
            <w:tcW w:w="1585" w:type="dxa"/>
          </w:tcPr>
          <w:p/>
        </w:tc>
      </w:tr>
    </w:tbl>
    <w:p>
      <w:r>
        <w:ptab w:relativeTo="margin" w:alignment="center" w:leader="none"/>
      </w:r>
    </w:p>
    <w:p/>
    <w:p>
      <w:pPr>
        <w:pStyle w:val="4"/>
      </w:pPr>
      <w:r>
        <w:rPr>
          <w:rFonts w:hint="eastAsia"/>
        </w:rPr>
        <w:t>说明：不符合标注N</w:t>
      </w:r>
      <w:r>
        <w:rPr>
          <w:rFonts w:hint="eastAsia"/>
          <w:lang w:eastAsia="zh-CN"/>
        </w:rPr>
        <w:t>，</w:t>
      </w:r>
      <w:r>
        <w:rPr>
          <w:rFonts w:hint="eastAsia"/>
          <w:lang w:val="en-US" w:eastAsia="zh-CN"/>
        </w:rPr>
        <w:t>林兵审核QO为主； 石帆审核QE为主； 审核为一个组一起审核，审核记录不分。</w:t>
      </w:r>
      <w:bookmarkStart w:id="1" w:name="_GoBack"/>
      <w:bookmarkEnd w:id="1"/>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32960F"/>
    <w:multiLevelType w:val="singleLevel"/>
    <w:tmpl w:val="F532960F"/>
    <w:lvl w:ilvl="0" w:tentative="0">
      <w:start w:val="1"/>
      <w:numFmt w:val="decimal"/>
      <w:suff w:val="nothing"/>
      <w:lvlText w:val="%1、"/>
      <w:lvlJc w:val="left"/>
    </w:lvl>
  </w:abstractNum>
  <w:abstractNum w:abstractNumId="1">
    <w:nsid w:val="132F2329"/>
    <w:multiLevelType w:val="multilevel"/>
    <w:tmpl w:val="132F232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259AC"/>
    <w:rsid w:val="000B7900"/>
    <w:rsid w:val="000D6436"/>
    <w:rsid w:val="000E6363"/>
    <w:rsid w:val="001032CB"/>
    <w:rsid w:val="001538EB"/>
    <w:rsid w:val="001541DA"/>
    <w:rsid w:val="001A2755"/>
    <w:rsid w:val="001E2BA0"/>
    <w:rsid w:val="00244E49"/>
    <w:rsid w:val="00291368"/>
    <w:rsid w:val="002D1F1C"/>
    <w:rsid w:val="002F3F05"/>
    <w:rsid w:val="00376607"/>
    <w:rsid w:val="003852FD"/>
    <w:rsid w:val="00411CE7"/>
    <w:rsid w:val="0044635D"/>
    <w:rsid w:val="00477697"/>
    <w:rsid w:val="004B16A6"/>
    <w:rsid w:val="004E08A4"/>
    <w:rsid w:val="00500C21"/>
    <w:rsid w:val="00514E61"/>
    <w:rsid w:val="00555EE8"/>
    <w:rsid w:val="005E51DA"/>
    <w:rsid w:val="005E607B"/>
    <w:rsid w:val="005F58CE"/>
    <w:rsid w:val="006350F0"/>
    <w:rsid w:val="0066443D"/>
    <w:rsid w:val="0068005C"/>
    <w:rsid w:val="006A1C0A"/>
    <w:rsid w:val="006C3B64"/>
    <w:rsid w:val="006E7A70"/>
    <w:rsid w:val="0072020E"/>
    <w:rsid w:val="007420C5"/>
    <w:rsid w:val="007536EE"/>
    <w:rsid w:val="007829D4"/>
    <w:rsid w:val="00792A29"/>
    <w:rsid w:val="007B1A3B"/>
    <w:rsid w:val="007E6648"/>
    <w:rsid w:val="007F5845"/>
    <w:rsid w:val="00802252"/>
    <w:rsid w:val="00834B09"/>
    <w:rsid w:val="00851B35"/>
    <w:rsid w:val="0087580D"/>
    <w:rsid w:val="00893291"/>
    <w:rsid w:val="008A67F0"/>
    <w:rsid w:val="008E0C8E"/>
    <w:rsid w:val="008E45B6"/>
    <w:rsid w:val="009303B3"/>
    <w:rsid w:val="009361D5"/>
    <w:rsid w:val="0094266C"/>
    <w:rsid w:val="00954EA8"/>
    <w:rsid w:val="009B7866"/>
    <w:rsid w:val="009C3AF7"/>
    <w:rsid w:val="009D12D3"/>
    <w:rsid w:val="00A07938"/>
    <w:rsid w:val="00A3276E"/>
    <w:rsid w:val="00AA2D83"/>
    <w:rsid w:val="00AA4040"/>
    <w:rsid w:val="00AB7281"/>
    <w:rsid w:val="00AE5352"/>
    <w:rsid w:val="00B01EF6"/>
    <w:rsid w:val="00B3243A"/>
    <w:rsid w:val="00B325A1"/>
    <w:rsid w:val="00BB5BDD"/>
    <w:rsid w:val="00BB6546"/>
    <w:rsid w:val="00BE0E37"/>
    <w:rsid w:val="00BF540D"/>
    <w:rsid w:val="00C16F84"/>
    <w:rsid w:val="00C23315"/>
    <w:rsid w:val="00C343F0"/>
    <w:rsid w:val="00CB6525"/>
    <w:rsid w:val="00D35010"/>
    <w:rsid w:val="00D36696"/>
    <w:rsid w:val="00D5752A"/>
    <w:rsid w:val="00DD4B80"/>
    <w:rsid w:val="00E113F1"/>
    <w:rsid w:val="00E15839"/>
    <w:rsid w:val="00E238F5"/>
    <w:rsid w:val="00E345F7"/>
    <w:rsid w:val="00E412FC"/>
    <w:rsid w:val="00E5540F"/>
    <w:rsid w:val="00E57F6A"/>
    <w:rsid w:val="00E850D0"/>
    <w:rsid w:val="00EF3EBB"/>
    <w:rsid w:val="00F13AB9"/>
    <w:rsid w:val="00F5315C"/>
    <w:rsid w:val="00F66D86"/>
    <w:rsid w:val="00F67463"/>
    <w:rsid w:val="00F922A5"/>
    <w:rsid w:val="00F95EB9"/>
    <w:rsid w:val="00FB75CB"/>
    <w:rsid w:val="00FC32C7"/>
    <w:rsid w:val="00FD12F5"/>
    <w:rsid w:val="00FD6519"/>
    <w:rsid w:val="06637429"/>
    <w:rsid w:val="11DF3032"/>
    <w:rsid w:val="15544391"/>
    <w:rsid w:val="1B2166CA"/>
    <w:rsid w:val="229142AD"/>
    <w:rsid w:val="394C1FBD"/>
    <w:rsid w:val="3D165674"/>
    <w:rsid w:val="42372DCB"/>
    <w:rsid w:val="4A8954D3"/>
    <w:rsid w:val="4C101BA9"/>
    <w:rsid w:val="6BA339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ind w:left="360"/>
    </w:pPr>
    <w:rPr>
      <w:rFonts w:ascii="宋体"/>
      <w:sz w:val="2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rFonts w:ascii="Times New Roman" w:hAnsi="Times New Roman" w:eastAsia="宋体" w:cs="Times New Roman"/>
      <w:sz w:val="18"/>
      <w:szCs w:val="18"/>
    </w:rPr>
  </w:style>
  <w:style w:type="character" w:customStyle="1" w:styleId="9">
    <w:name w:val="页脚 字符"/>
    <w:basedOn w:val="7"/>
    <w:link w:val="4"/>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ind w:firstLine="420" w:firstLineChars="200"/>
    </w:pPr>
    <w:rPr>
      <w:rFonts w:ascii="Calibri" w:hAnsi="Calibri"/>
      <w:sz w:val="24"/>
      <w:szCs w:val="22"/>
    </w:rPr>
  </w:style>
  <w:style w:type="paragraph" w:customStyle="1" w:styleId="13">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4">
    <w:name w:val="正文文本缩进 字符"/>
    <w:basedOn w:val="7"/>
    <w:link w:val="2"/>
    <w:qFormat/>
    <w:uiPriority w:val="0"/>
    <w:rPr>
      <w:rFonts w:ascii="宋体" w:hAnsi="Times New Roman" w:eastAsia="宋体" w:cs="Times New Roman"/>
      <w:kern w:val="2"/>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525</Words>
  <Characters>2999</Characters>
  <Lines>24</Lines>
  <Paragraphs>7</Paragraphs>
  <TotalTime>0</TotalTime>
  <ScaleCrop>false</ScaleCrop>
  <LinksUpToDate>false</LinksUpToDate>
  <CharactersWithSpaces>3517</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2020-09-21T02:05:00Z</dcterms:created>
  <dc:creator>微软用户</dc:creator>
  <cp:lastModifiedBy>森林</cp:lastModifiedBy>
  <dcterms:modified xsi:type="dcterms:W3CDTF">2021-08-09T06:45:46Z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9F571FEF23F140B18848B73AE1C0D366</vt:lpwstr>
  </property>
</Properties>
</file>