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衡水贝优特科技有限公司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武邑县茂源大街西侧（衡水起行橡塑有限公司办公楼3楼311室）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武邑县茂源大街西侧（衡水起行橡塑有限公司办公楼3楼311室）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贺桂焕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15610821134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0164-2020-Q-2021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橡胶输送带的生产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2021年08月06日 上午至2021年08月06日 下午</w:t>
            </w:r>
            <w:bookmarkEnd w:id="24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387"/>
        <w:gridCol w:w="212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08-06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08：15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387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相关方的需求和期望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体系策划过程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风险和机遇控制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目标管控；</w:t>
            </w:r>
            <w:r>
              <w:rPr>
                <w:rFonts w:hint="eastAsia"/>
                <w:sz w:val="21"/>
                <w:szCs w:val="21"/>
              </w:rPr>
              <w:t>资源提供过程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120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楷体" w:hAnsi="楷体" w:eastAsia="楷体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38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、运行现场</w:t>
            </w:r>
          </w:p>
        </w:tc>
        <w:tc>
          <w:tcPr>
            <w:tcW w:w="212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38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质量目标；人员；分析与评价；内部审核；不合格和纠正措施</w:t>
            </w:r>
            <w:r>
              <w:rPr>
                <w:rFonts w:hint="eastAsia"/>
                <w:sz w:val="21"/>
                <w:szCs w:val="21"/>
              </w:rPr>
              <w:t>）（QMS）</w:t>
            </w:r>
          </w:p>
        </w:tc>
        <w:tc>
          <w:tcPr>
            <w:tcW w:w="21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7.1.2/9.1.1/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3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387" w:type="dxa"/>
            <w:vAlign w:val="top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组织的岗位、职责权限；质量目标；产品和服务要求；外部提供的过程、产品和服务的控制；顾客满意。</w:t>
            </w:r>
            <w:r>
              <w:rPr>
                <w:rFonts w:hint="eastAsia" w:cs="Arial"/>
                <w:sz w:val="21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12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38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组织的岗位、职责权限；质量目标；基础设施；监视和测量资源；运行的策划和控制；生产和服务提供的控制；产品和服务的放行；不合格输出的控制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 xml:space="preserve">MS: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7.1.3/7.1.5/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8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38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12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  <w:bookmarkStart w:id="26" w:name="_GoBack"/>
      <w:bookmarkEnd w:id="26"/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9072D"/>
    <w:rsid w:val="3EA346C0"/>
    <w:rsid w:val="40295FE4"/>
    <w:rsid w:val="5DF54FA6"/>
    <w:rsid w:val="71C25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2</TotalTime>
  <ScaleCrop>false</ScaleCrop>
  <LinksUpToDate>false</LinksUpToDate>
  <CharactersWithSpaces>5351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2021-08-06T22:30:17Z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