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151"/>
        <w:gridCol w:w="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51" w:type="dxa"/>
            <w:vAlign w:val="center"/>
          </w:tcPr>
          <w:p>
            <w:pPr>
              <w:rPr>
                <w:rFonts w:ascii="宋体" w:hAnsi="宋体" w:cs="宋体"/>
                <w:sz w:val="24"/>
                <w:szCs w:val="24"/>
              </w:rPr>
            </w:pPr>
            <w:r>
              <w:rPr>
                <w:rFonts w:hint="eastAsia" w:ascii="宋体" w:hAnsi="宋体" w:cs="宋体"/>
                <w:sz w:val="24"/>
                <w:szCs w:val="24"/>
              </w:rPr>
              <w:t>受审核部门：行政管理部         主管领导：付利海       陪同人员：黄蓉</w:t>
            </w:r>
          </w:p>
        </w:tc>
        <w:tc>
          <w:tcPr>
            <w:tcW w:w="438"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1151" w:type="dxa"/>
            <w:vAlign w:val="center"/>
          </w:tcPr>
          <w:p>
            <w:pPr>
              <w:snapToGrid w:val="0"/>
              <w:spacing w:line="320" w:lineRule="exact"/>
              <w:rPr>
                <w:rFonts w:ascii="宋体" w:hAnsi="宋体" w:cs="宋体"/>
                <w:sz w:val="24"/>
                <w:szCs w:val="24"/>
              </w:rPr>
            </w:pPr>
            <w:r>
              <w:rPr>
                <w:rFonts w:hint="eastAsia" w:ascii="宋体" w:hAnsi="宋体" w:cs="宋体"/>
                <w:sz w:val="24"/>
                <w:szCs w:val="24"/>
              </w:rPr>
              <w:t>审核员：</w:t>
            </w:r>
            <w:r>
              <w:rPr>
                <w:rFonts w:hint="eastAsia" w:ascii="宋体" w:hAnsi="宋体" w:cs="宋体"/>
                <w:sz w:val="24"/>
                <w:szCs w:val="24"/>
                <w:lang w:val="en-US" w:eastAsia="zh-CN"/>
              </w:rPr>
              <w:t>Q（</w:t>
            </w:r>
            <w:r>
              <w:rPr>
                <w:rFonts w:hint="eastAsia" w:ascii="宋体" w:hAnsi="宋体" w:cs="宋体"/>
                <w:sz w:val="24"/>
                <w:szCs w:val="24"/>
              </w:rPr>
              <w:t>王海燕</w:t>
            </w:r>
            <w:r>
              <w:rPr>
                <w:rFonts w:hint="eastAsia" w:ascii="宋体" w:hAnsi="宋体" w:cs="宋体"/>
                <w:sz w:val="24"/>
                <w:szCs w:val="24"/>
                <w:lang w:eastAsia="zh-CN"/>
              </w:rPr>
              <w:t>）</w:t>
            </w:r>
            <w:r>
              <w:rPr>
                <w:rFonts w:hint="eastAsia" w:ascii="宋体" w:hAnsi="宋体" w:cs="宋体"/>
                <w:sz w:val="24"/>
                <w:szCs w:val="24"/>
                <w:lang w:val="en-US" w:eastAsia="zh-CN"/>
              </w:rPr>
              <w:t>审核、ES（周涛、马启铭、安涛）审核</w:t>
            </w:r>
            <w:r>
              <w:rPr>
                <w:rFonts w:hint="eastAsia" w:ascii="宋体" w:hAnsi="宋体" w:cs="宋体"/>
                <w:sz w:val="24"/>
                <w:szCs w:val="24"/>
              </w:rPr>
              <w:t xml:space="preserve">       </w:t>
            </w:r>
            <w:bookmarkStart w:id="0" w:name="_GoBack"/>
            <w:bookmarkEnd w:id="0"/>
            <w:r>
              <w:rPr>
                <w:rFonts w:hint="eastAsia" w:ascii="宋体" w:hAnsi="宋体" w:cs="宋体"/>
                <w:sz w:val="24"/>
                <w:szCs w:val="24"/>
              </w:rPr>
              <w:t>审核时间：</w:t>
            </w:r>
            <w:r>
              <w:rPr>
                <w:rFonts w:hint="eastAsia" w:ascii="宋体" w:hAnsi="宋体"/>
                <w:sz w:val="24"/>
                <w:szCs w:val="24"/>
              </w:rPr>
              <w:t xml:space="preserve"> 2021.8.3</w:t>
            </w:r>
          </w:p>
        </w:tc>
        <w:tc>
          <w:tcPr>
            <w:tcW w:w="4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160" w:type="dxa"/>
            <w:vMerge w:val="continue"/>
            <w:vAlign w:val="center"/>
          </w:tcPr>
          <w:p/>
        </w:tc>
        <w:tc>
          <w:tcPr>
            <w:tcW w:w="960" w:type="dxa"/>
            <w:vMerge w:val="continue"/>
            <w:vAlign w:val="center"/>
          </w:tcPr>
          <w:p/>
        </w:tc>
        <w:tc>
          <w:tcPr>
            <w:tcW w:w="11151" w:type="dxa"/>
            <w:vAlign w:val="center"/>
          </w:tcPr>
          <w:p>
            <w:pPr>
              <w:spacing w:line="300" w:lineRule="exact"/>
              <w:jc w:val="left"/>
              <w:rPr>
                <w:sz w:val="20"/>
                <w:szCs w:val="22"/>
              </w:rPr>
            </w:pPr>
            <w:r>
              <w:rPr>
                <w:rFonts w:hint="eastAsia"/>
                <w:sz w:val="20"/>
                <w:szCs w:val="22"/>
              </w:rPr>
              <w:t>Q:5.3/6.1/6.2/7.1.2/7.1.3/7.1.4/7.1.6/7.5/9.1.3/9.2/10.2；</w:t>
            </w:r>
          </w:p>
          <w:p>
            <w:pPr>
              <w:snapToGrid w:val="0"/>
              <w:spacing w:line="200" w:lineRule="exact"/>
              <w:rPr>
                <w:sz w:val="20"/>
                <w:szCs w:val="22"/>
              </w:rPr>
            </w:pPr>
            <w:r>
              <w:rPr>
                <w:rFonts w:hint="eastAsia"/>
                <w:sz w:val="20"/>
                <w:szCs w:val="22"/>
              </w:rPr>
              <w:t>E0:5.3/6.2/6.1.1/6.1.2/6.1.3/7.1/7.2/7.3/7.4/7.5/8.1/9.1.2/9.2/10.2</w:t>
            </w:r>
          </w:p>
        </w:tc>
        <w:tc>
          <w:tcPr>
            <w:tcW w:w="4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160" w:type="dxa"/>
          </w:tcPr>
          <w:p>
            <w:pPr>
              <w:rPr>
                <w:rFonts w:ascii="宋体" w:hAnsi="宋体" w:cs="宋体"/>
                <w:sz w:val="24"/>
                <w:szCs w:val="24"/>
              </w:rPr>
            </w:pPr>
            <w:r>
              <w:rPr>
                <w:rFonts w:hint="eastAsia" w:ascii="宋体" w:hAnsi="宋体" w:cs="宋体"/>
                <w:sz w:val="24"/>
                <w:szCs w:val="24"/>
              </w:rPr>
              <w:t>组织的岗位、职责和权限</w:t>
            </w:r>
          </w:p>
          <w:p>
            <w:pPr>
              <w:rPr>
                <w:rFonts w:ascii="宋体" w:hAnsi="宋体" w:cs="宋体"/>
                <w:sz w:val="24"/>
                <w:szCs w:val="24"/>
              </w:rPr>
            </w:pPr>
          </w:p>
        </w:tc>
        <w:tc>
          <w:tcPr>
            <w:tcW w:w="960" w:type="dxa"/>
          </w:tcPr>
          <w:p>
            <w:pPr>
              <w:rPr>
                <w:rFonts w:ascii="宋体" w:hAnsi="宋体" w:cs="宋体"/>
                <w:sz w:val="24"/>
                <w:szCs w:val="24"/>
              </w:rPr>
            </w:pPr>
            <w:r>
              <w:rPr>
                <w:rFonts w:hint="eastAsia" w:ascii="宋体" w:hAnsi="宋体" w:cs="宋体"/>
                <w:sz w:val="24"/>
                <w:szCs w:val="24"/>
              </w:rPr>
              <w:t>QEO5.3</w:t>
            </w:r>
          </w:p>
          <w:p>
            <w:pPr>
              <w:rPr>
                <w:rFonts w:ascii="宋体" w:hAnsi="宋体" w:cs="宋体"/>
                <w:sz w:val="24"/>
                <w:szCs w:val="24"/>
              </w:rPr>
            </w:pPr>
          </w:p>
          <w:p>
            <w:pPr>
              <w:rPr>
                <w:rFonts w:ascii="宋体" w:hAnsi="宋体" w:cs="宋体"/>
                <w:sz w:val="24"/>
                <w:szCs w:val="24"/>
              </w:rPr>
            </w:pPr>
          </w:p>
        </w:tc>
        <w:tc>
          <w:tcPr>
            <w:tcW w:w="11151" w:type="dxa"/>
          </w:tcPr>
          <w:p>
            <w:pPr>
              <w:adjustRightInd w:val="0"/>
              <w:snapToGrid w:val="0"/>
              <w:spacing w:line="520" w:lineRule="exact"/>
              <w:ind w:firstLine="420" w:firstLineChars="200"/>
              <w:rPr>
                <w:rFonts w:ascii="宋体" w:hAnsi="宋体"/>
                <w:szCs w:val="24"/>
              </w:rPr>
            </w:pPr>
            <w:r>
              <w:rPr>
                <w:rFonts w:hint="eastAsia" w:ascii="宋体" w:hAnsi="宋体"/>
                <w:szCs w:val="24"/>
              </w:rPr>
              <w:t>1）在管理者代表指导下，组织实施公司范围内质量策划、品质监控、品质改善以及专业技术改善等工作，确保公司整体服务质量的不断提升，满足公司发展需要；</w:t>
            </w:r>
          </w:p>
          <w:p>
            <w:pPr>
              <w:adjustRightInd w:val="0"/>
              <w:snapToGrid w:val="0"/>
              <w:spacing w:line="520" w:lineRule="exact"/>
              <w:ind w:firstLine="420" w:firstLineChars="200"/>
              <w:rPr>
                <w:rFonts w:ascii="宋体" w:hAnsi="宋体"/>
                <w:szCs w:val="24"/>
              </w:rPr>
            </w:pPr>
            <w:r>
              <w:rPr>
                <w:rFonts w:hint="eastAsia" w:ascii="宋体" w:hAnsi="宋体"/>
                <w:szCs w:val="24"/>
              </w:rPr>
              <w:t>2）负责环境、职业健康安全法律、法规及有关标准的获取、评价、确认及更新，并对适用于公司的环境、职业健康安全法律、法规及其他要求进行合规性评价；关注行业发展动态、法律法规政策变化；</w:t>
            </w:r>
          </w:p>
          <w:p>
            <w:pPr>
              <w:adjustRightInd w:val="0"/>
              <w:snapToGrid w:val="0"/>
              <w:spacing w:line="520" w:lineRule="exact"/>
              <w:ind w:firstLine="420" w:firstLineChars="200"/>
              <w:rPr>
                <w:rFonts w:ascii="宋体" w:hAnsi="宋体"/>
                <w:szCs w:val="24"/>
              </w:rPr>
            </w:pPr>
            <w:r>
              <w:rPr>
                <w:rFonts w:hint="eastAsia" w:ascii="宋体" w:hAnsi="宋体"/>
                <w:szCs w:val="24"/>
              </w:rPr>
              <w:t>3）负责组织编写、维护公司QES三体系管理文件体系，包括管理手册、程序文件以及作业指导书；同时负责申请和接待第三方的体系认证工作；</w:t>
            </w:r>
          </w:p>
          <w:p>
            <w:pPr>
              <w:adjustRightInd w:val="0"/>
              <w:snapToGrid w:val="0"/>
              <w:spacing w:line="520" w:lineRule="exact"/>
              <w:ind w:firstLine="420" w:firstLineChars="200"/>
              <w:rPr>
                <w:rFonts w:ascii="宋体" w:hAnsi="宋体"/>
                <w:szCs w:val="24"/>
              </w:rPr>
            </w:pPr>
            <w:r>
              <w:rPr>
                <w:rFonts w:hint="eastAsia" w:ascii="宋体" w:hAnsi="宋体"/>
                <w:szCs w:val="24"/>
              </w:rPr>
              <w:t>4） 每月负责对各管理服务处品质日常品质、夜查品质的监督、考评与反馈；通报各项目检查情况整改完成情况，纳入月度考核；必要时形成专题报告，以持续改进各项服务；每月组织各部门月度考核检查，月度通报各项目考核情况；</w:t>
            </w:r>
          </w:p>
          <w:p>
            <w:pPr>
              <w:adjustRightInd w:val="0"/>
              <w:snapToGrid w:val="0"/>
              <w:spacing w:line="520" w:lineRule="exact"/>
              <w:ind w:firstLine="420" w:firstLineChars="200"/>
              <w:rPr>
                <w:rFonts w:ascii="宋体" w:hAnsi="宋体"/>
                <w:szCs w:val="24"/>
              </w:rPr>
            </w:pPr>
            <w:r>
              <w:rPr>
                <w:rFonts w:hint="eastAsia" w:ascii="宋体" w:hAnsi="宋体"/>
                <w:szCs w:val="24"/>
              </w:rPr>
              <w:t>5）负责制定岗位职责落实，人力资源招聘、转岗、歇岗人员的薪酬待遇及年度考核。负责员工养老保险缴纳；</w:t>
            </w:r>
          </w:p>
          <w:p>
            <w:pPr>
              <w:adjustRightInd w:val="0"/>
              <w:snapToGrid w:val="0"/>
              <w:spacing w:line="520" w:lineRule="exact"/>
              <w:ind w:firstLine="420" w:firstLineChars="200"/>
              <w:rPr>
                <w:rFonts w:ascii="宋体" w:hAnsi="宋体"/>
                <w:szCs w:val="24"/>
              </w:rPr>
            </w:pPr>
            <w:r>
              <w:rPr>
                <w:rFonts w:hint="eastAsia" w:ascii="宋体" w:hAnsi="宋体"/>
                <w:szCs w:val="24"/>
              </w:rPr>
              <w:t>6）制定年度培训计划，并按计划实施培训；</w:t>
            </w:r>
          </w:p>
          <w:p>
            <w:pPr>
              <w:adjustRightInd w:val="0"/>
              <w:snapToGrid w:val="0"/>
              <w:spacing w:line="520" w:lineRule="exact"/>
              <w:ind w:firstLine="420" w:firstLineChars="200"/>
              <w:rPr>
                <w:rFonts w:ascii="宋体" w:hAnsi="宋体"/>
                <w:szCs w:val="24"/>
              </w:rPr>
            </w:pPr>
            <w:r>
              <w:rPr>
                <w:rFonts w:hint="eastAsia" w:ascii="宋体" w:hAnsi="宋体"/>
                <w:szCs w:val="24"/>
              </w:rPr>
              <w:t>7） 负责公司质量、环境、安全目标和服务质量、环境绩效、职业安全相关数据的收集和分析；对低于目标值的情况需组织相关部门实施改进；</w:t>
            </w:r>
          </w:p>
          <w:p>
            <w:pPr>
              <w:adjustRightInd w:val="0"/>
              <w:snapToGrid w:val="0"/>
              <w:spacing w:line="520" w:lineRule="exact"/>
              <w:ind w:firstLine="420" w:firstLineChars="200"/>
              <w:rPr>
                <w:rFonts w:ascii="宋体" w:hAnsi="宋体"/>
                <w:szCs w:val="24"/>
              </w:rPr>
            </w:pPr>
            <w:r>
              <w:rPr>
                <w:rFonts w:hint="eastAsia" w:ascii="宋体" w:hAnsi="宋体"/>
                <w:szCs w:val="24"/>
              </w:rPr>
              <w:t>8）汇总环境因素和危险源因素，组织有关人员评价重要环境因素和重大危险源因素，组织环境目标、指标和环境管理方案的制定、分解、检查与实施；</w:t>
            </w:r>
          </w:p>
          <w:p>
            <w:pPr>
              <w:adjustRightInd w:val="0"/>
              <w:snapToGrid w:val="0"/>
              <w:spacing w:line="520" w:lineRule="exact"/>
              <w:ind w:firstLine="420" w:firstLineChars="200"/>
              <w:rPr>
                <w:rFonts w:ascii="宋体" w:hAnsi="宋体"/>
                <w:szCs w:val="24"/>
              </w:rPr>
            </w:pPr>
            <w:r>
              <w:rPr>
                <w:rFonts w:hint="eastAsia" w:ascii="宋体" w:hAnsi="宋体"/>
                <w:szCs w:val="24"/>
              </w:rPr>
              <w:t>9）负责业户接待、各类投诉、报修的受理、跟进、回访，并对过程中获得业户的反馈信息统计、分析，提出改进建议；</w:t>
            </w:r>
          </w:p>
          <w:p>
            <w:pPr>
              <w:adjustRightInd w:val="0"/>
              <w:snapToGrid w:val="0"/>
              <w:spacing w:line="520" w:lineRule="exact"/>
              <w:ind w:firstLine="420" w:firstLineChars="200"/>
              <w:rPr>
                <w:rFonts w:ascii="宋体" w:hAnsi="宋体"/>
                <w:szCs w:val="24"/>
              </w:rPr>
            </w:pPr>
            <w:r>
              <w:rPr>
                <w:rFonts w:hint="eastAsia" w:ascii="宋体" w:hAnsi="宋体"/>
                <w:szCs w:val="24"/>
              </w:rPr>
              <w:t>10） 负责公司后勤保障物资采购活动的控制、供方的评价及物资的仓储管理；负责采购不合格服务的控制和不合格服务的对内、对外协调处理。</w:t>
            </w:r>
          </w:p>
          <w:p>
            <w:pPr>
              <w:adjustRightInd w:val="0"/>
              <w:snapToGrid w:val="0"/>
              <w:spacing w:line="520" w:lineRule="exact"/>
              <w:ind w:firstLine="420" w:firstLineChars="200"/>
              <w:rPr>
                <w:rFonts w:ascii="宋体" w:hAnsi="宋体"/>
                <w:szCs w:val="24"/>
              </w:rPr>
            </w:pPr>
            <w:r>
              <w:rPr>
                <w:rFonts w:hint="eastAsia" w:ascii="宋体" w:hAnsi="宋体"/>
                <w:szCs w:val="24"/>
              </w:rPr>
              <w:t>11）负责组织制订办公室应急准备与响应方案，组织办公室异常事件的应急准备和响应；</w:t>
            </w:r>
          </w:p>
          <w:p>
            <w:pPr>
              <w:adjustRightInd w:val="0"/>
              <w:snapToGrid w:val="0"/>
              <w:spacing w:line="520" w:lineRule="exact"/>
              <w:ind w:firstLine="420" w:firstLineChars="200"/>
              <w:rPr>
                <w:rFonts w:ascii="宋体" w:hAnsi="宋体"/>
                <w:szCs w:val="24"/>
              </w:rPr>
            </w:pPr>
            <w:r>
              <w:rPr>
                <w:rFonts w:hint="eastAsia" w:ascii="宋体" w:hAnsi="宋体"/>
                <w:szCs w:val="24"/>
              </w:rPr>
              <w:t>12）负责公司职业健康安全、环保及工作环境的监督检查；</w:t>
            </w:r>
          </w:p>
          <w:p>
            <w:pPr>
              <w:adjustRightInd w:val="0"/>
              <w:snapToGrid w:val="0"/>
              <w:spacing w:line="520" w:lineRule="exact"/>
              <w:ind w:firstLine="420" w:firstLineChars="200"/>
              <w:rPr>
                <w:rFonts w:ascii="宋体" w:hAnsi="宋体"/>
                <w:szCs w:val="24"/>
              </w:rPr>
            </w:pPr>
            <w:r>
              <w:rPr>
                <w:rFonts w:hint="eastAsia" w:ascii="宋体" w:hAnsi="宋体"/>
                <w:szCs w:val="24"/>
              </w:rPr>
              <w:t>13）负责职业病预防和职工健康档案建立.</w:t>
            </w:r>
          </w:p>
          <w:p>
            <w:pPr>
              <w:adjustRightInd w:val="0"/>
              <w:snapToGrid w:val="0"/>
              <w:spacing w:line="520" w:lineRule="exact"/>
              <w:ind w:firstLine="420" w:firstLineChars="200"/>
              <w:rPr>
                <w:rFonts w:ascii="宋体" w:hAnsi="宋体"/>
                <w:szCs w:val="24"/>
              </w:rPr>
            </w:pPr>
            <w:r>
              <w:rPr>
                <w:rFonts w:hint="eastAsia" w:ascii="宋体" w:hAnsi="宋体"/>
                <w:szCs w:val="24"/>
              </w:rPr>
              <w:t>14)   编制财务计划，作好预决算工作，监督检查公司的财务收支情况，监督资金和资产的安全运行。定期向总经理汇报财务收支情况，对总经理负责；</w:t>
            </w:r>
          </w:p>
          <w:p>
            <w:pPr>
              <w:adjustRightInd w:val="0"/>
              <w:snapToGrid w:val="0"/>
              <w:spacing w:line="520" w:lineRule="exact"/>
              <w:ind w:firstLine="420" w:firstLineChars="200"/>
              <w:rPr>
                <w:rFonts w:ascii="宋体" w:hAnsi="宋体"/>
                <w:szCs w:val="24"/>
              </w:rPr>
            </w:pPr>
            <w:r>
              <w:rPr>
                <w:rFonts w:hint="eastAsia" w:ascii="宋体" w:hAnsi="宋体"/>
                <w:szCs w:val="24"/>
              </w:rPr>
              <w:t>15)   监督经济合同的执行情况；</w:t>
            </w:r>
          </w:p>
          <w:p>
            <w:pPr>
              <w:adjustRightInd w:val="0"/>
              <w:snapToGrid w:val="0"/>
              <w:spacing w:line="520" w:lineRule="exact"/>
              <w:ind w:firstLine="420" w:firstLineChars="200"/>
              <w:rPr>
                <w:rFonts w:ascii="宋体" w:hAnsi="宋体"/>
                <w:szCs w:val="24"/>
              </w:rPr>
            </w:pPr>
            <w:r>
              <w:rPr>
                <w:rFonts w:hint="eastAsia" w:ascii="宋体" w:hAnsi="宋体"/>
                <w:szCs w:val="24"/>
              </w:rPr>
              <w:t>16)   审查公司经营管理和投资方案的效益，确保环境安全管理方案的资金供给；</w:t>
            </w:r>
          </w:p>
          <w:p>
            <w:pPr>
              <w:adjustRightInd w:val="0"/>
              <w:snapToGrid w:val="0"/>
              <w:spacing w:line="520" w:lineRule="exact"/>
              <w:ind w:firstLine="420" w:firstLineChars="200"/>
              <w:rPr>
                <w:rFonts w:ascii="宋体" w:hAnsi="宋体"/>
                <w:szCs w:val="24"/>
              </w:rPr>
            </w:pPr>
            <w:r>
              <w:rPr>
                <w:rFonts w:hint="eastAsia" w:ascii="宋体" w:hAnsi="宋体"/>
                <w:szCs w:val="24"/>
              </w:rPr>
              <w:t>17)   负责公司内部财务工作的控制和协调，对各项目的财务收支、成本核算、资金使用和财务管理等进行监督检查；</w:t>
            </w:r>
          </w:p>
          <w:p>
            <w:pPr>
              <w:adjustRightInd w:val="0"/>
              <w:snapToGrid w:val="0"/>
              <w:spacing w:line="520" w:lineRule="exact"/>
              <w:ind w:firstLine="420" w:firstLineChars="200"/>
              <w:rPr>
                <w:rFonts w:ascii="宋体" w:hAnsi="宋体"/>
                <w:szCs w:val="24"/>
              </w:rPr>
            </w:pPr>
            <w:r>
              <w:rPr>
                <w:rFonts w:hint="eastAsia" w:ascii="宋体" w:hAnsi="宋体"/>
                <w:szCs w:val="24"/>
              </w:rPr>
              <w:t>18)   负责物业管理及餐饮服务及配套服务费用的催收及结算工作。</w:t>
            </w:r>
          </w:p>
          <w:p>
            <w:pPr>
              <w:adjustRightInd w:val="0"/>
              <w:snapToGrid w:val="0"/>
              <w:spacing w:line="520" w:lineRule="exact"/>
              <w:ind w:firstLine="420" w:firstLineChars="200"/>
              <w:rPr>
                <w:rFonts w:ascii="宋体" w:hAnsi="宋体"/>
                <w:szCs w:val="24"/>
              </w:rPr>
            </w:pPr>
            <w:r>
              <w:rPr>
                <w:rFonts w:hint="eastAsia" w:ascii="宋体" w:hAnsi="宋体"/>
                <w:szCs w:val="24"/>
              </w:rPr>
              <w:t>19）  按照国家的有关法律法规，建立健全公司内部各项财务管理制度；</w:t>
            </w:r>
          </w:p>
        </w:tc>
        <w:tc>
          <w:tcPr>
            <w:tcW w:w="438" w:type="dxa"/>
            <w:vAlign w:val="center"/>
          </w:tcPr>
          <w:p>
            <w:pPr>
              <w:jc w:val="center"/>
              <w:rPr>
                <w:rFonts w:ascii="宋体" w:hAnsi="宋体" w:cs="宋体"/>
                <w:sz w:val="24"/>
                <w:szCs w:val="24"/>
              </w:rPr>
            </w:pPr>
            <w:r>
              <w:rPr>
                <w:rFonts w:hint="eastAsia" w:ascii="宋体" w:hAnsi="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 w:val="24"/>
                <w:szCs w:val="24"/>
              </w:rPr>
            </w:pPr>
            <w:r>
              <w:rPr>
                <w:rFonts w:hint="eastAsia" w:ascii="宋体" w:hAnsi="宋体" w:cs="宋体"/>
                <w:sz w:val="24"/>
                <w:szCs w:val="24"/>
              </w:rPr>
              <w:t>风险和机遇识别及控制措施</w:t>
            </w:r>
          </w:p>
          <w:p>
            <w:pPr>
              <w:rPr>
                <w:rFonts w:ascii="宋体" w:hAnsi="宋体" w:cs="宋体"/>
                <w:sz w:val="24"/>
                <w:szCs w:val="24"/>
              </w:rPr>
            </w:pPr>
          </w:p>
        </w:tc>
        <w:tc>
          <w:tcPr>
            <w:tcW w:w="960" w:type="dxa"/>
          </w:tcPr>
          <w:p>
            <w:pPr>
              <w:rPr>
                <w:rFonts w:ascii="宋体" w:hAnsi="宋体" w:cs="宋体"/>
                <w:sz w:val="24"/>
                <w:szCs w:val="24"/>
              </w:rPr>
            </w:pPr>
            <w:r>
              <w:rPr>
                <w:rFonts w:hint="eastAsia" w:ascii="宋体" w:hAnsi="宋体" w:cs="宋体"/>
                <w:sz w:val="24"/>
                <w:szCs w:val="24"/>
              </w:rPr>
              <w:t>QEO6.1</w:t>
            </w:r>
          </w:p>
          <w:p>
            <w:pPr>
              <w:rPr>
                <w:rFonts w:ascii="宋体" w:hAnsi="宋体" w:cs="宋体"/>
                <w:sz w:val="24"/>
                <w:szCs w:val="24"/>
              </w:rPr>
            </w:pPr>
          </w:p>
        </w:tc>
        <w:tc>
          <w:tcPr>
            <w:tcW w:w="11151" w:type="dxa"/>
          </w:tcPr>
          <w:p>
            <w:pPr>
              <w:adjustRightInd w:val="0"/>
              <w:snapToGrid w:val="0"/>
              <w:spacing w:line="520" w:lineRule="exact"/>
              <w:ind w:firstLine="420" w:firstLineChars="200"/>
              <w:rPr>
                <w:rFonts w:ascii="宋体" w:hAnsi="宋体"/>
                <w:szCs w:val="24"/>
              </w:rPr>
            </w:pPr>
            <w:r>
              <w:rPr>
                <w:rFonts w:hint="eastAsia" w:ascii="宋体" w:hAnsi="宋体"/>
                <w:szCs w:val="24"/>
              </w:rPr>
              <w:t>■公司制定《风险和机遇的应对控制程序》，明确风险和机遇事件的识别方法/途径、风险和机遇事件的评估方式、制定主要风险和机遇事件的应对措施的要求、评价这些措施有效性的方法。</w:t>
            </w:r>
          </w:p>
          <w:p>
            <w:pPr>
              <w:adjustRightInd w:val="0"/>
              <w:snapToGrid w:val="0"/>
              <w:spacing w:line="520" w:lineRule="exact"/>
              <w:ind w:firstLine="420" w:firstLineChars="200"/>
              <w:rPr>
                <w:rFonts w:ascii="宋体" w:hAnsi="宋体"/>
                <w:szCs w:val="24"/>
              </w:rPr>
            </w:pPr>
            <w:r>
              <w:rPr>
                <w:rFonts w:hint="eastAsia" w:ascii="宋体" w:hAnsi="宋体"/>
                <w:szCs w:val="24"/>
              </w:rPr>
              <w:t>出示“风险和机遇及应对措施记录”，按照顾客过程、外部供方、内部等过程/部门对风险和机遇进行了评价识别，并制定应对措施。如人员管理过程中出现的项目岗位人员突然离岗多人；员工能力、不能满足岗位需求；员工思想波动，工作不安心等风险。采取措施是：关注员工需求、情绪、困难等，及时排解；开展意识、思想及知识更新的学习及培训，关注员工价值、能力、创造力的发挥和展现等。</w:t>
            </w:r>
          </w:p>
          <w:p>
            <w:pPr>
              <w:adjustRightInd w:val="0"/>
              <w:snapToGrid w:val="0"/>
              <w:spacing w:line="520" w:lineRule="exact"/>
              <w:ind w:firstLine="420" w:firstLineChars="200"/>
              <w:rPr>
                <w:rFonts w:ascii="宋体" w:hAnsi="宋体"/>
                <w:szCs w:val="24"/>
              </w:rPr>
            </w:pPr>
            <w:r>
              <w:rPr>
                <w:rFonts w:hint="eastAsia" w:ascii="宋体" w:hAnsi="宋体"/>
                <w:szCs w:val="24"/>
              </w:rPr>
              <w:t>经营风险、财务风险等进行风险机遇识别并有对应措施</w:t>
            </w:r>
          </w:p>
          <w:p>
            <w:pPr>
              <w:adjustRightInd w:val="0"/>
              <w:snapToGrid w:val="0"/>
              <w:spacing w:line="520" w:lineRule="exact"/>
              <w:ind w:firstLine="420" w:firstLineChars="200"/>
              <w:rPr>
                <w:rFonts w:ascii="宋体" w:hAnsi="宋体"/>
                <w:szCs w:val="24"/>
              </w:rPr>
            </w:pPr>
            <w:r>
              <w:rPr>
                <w:rFonts w:hint="eastAsia" w:ascii="宋体" w:hAnsi="宋体"/>
                <w:szCs w:val="24"/>
              </w:rPr>
              <w:t>识别人：行政管理部   2021.1</w:t>
            </w:r>
          </w:p>
          <w:p>
            <w:pPr>
              <w:adjustRightInd w:val="0"/>
              <w:snapToGrid w:val="0"/>
              <w:spacing w:line="520" w:lineRule="exact"/>
              <w:ind w:firstLine="420" w:firstLineChars="200"/>
              <w:rPr>
                <w:rFonts w:ascii="宋体" w:hAnsi="宋体"/>
                <w:szCs w:val="24"/>
              </w:rPr>
            </w:pPr>
            <w:r>
              <w:rPr>
                <w:rFonts w:hint="eastAsia" w:ascii="宋体" w:hAnsi="宋体"/>
                <w:szCs w:val="24"/>
              </w:rPr>
              <w:t>风险机遇识别基本充分，应对风险和机遇的措施基本适宜。</w:t>
            </w:r>
          </w:p>
        </w:tc>
        <w:tc>
          <w:tcPr>
            <w:tcW w:w="438" w:type="dxa"/>
            <w:vAlign w:val="center"/>
          </w:tcPr>
          <w:p>
            <w:pPr>
              <w:jc w:val="center"/>
              <w:rPr>
                <w:rFonts w:ascii="宋体" w:hAnsi="宋体" w:cs="宋体"/>
                <w:sz w:val="24"/>
                <w:szCs w:val="24"/>
              </w:rPr>
            </w:pPr>
            <w:r>
              <w:rPr>
                <w:rFonts w:hint="eastAsia" w:ascii="宋体" w:hAnsi="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160" w:type="dxa"/>
          </w:tcPr>
          <w:p>
            <w:pPr>
              <w:rPr>
                <w:rFonts w:ascii="宋体" w:hAnsi="宋体" w:cs="宋体"/>
                <w:sz w:val="24"/>
                <w:szCs w:val="24"/>
              </w:rPr>
            </w:pPr>
            <w:r>
              <w:rPr>
                <w:rFonts w:hint="eastAsia" w:ascii="宋体" w:hAnsi="宋体" w:cs="宋体"/>
                <w:sz w:val="24"/>
                <w:szCs w:val="24"/>
              </w:rPr>
              <w:t>质量目标及其实现的策划</w:t>
            </w:r>
          </w:p>
          <w:p>
            <w:pPr>
              <w:rPr>
                <w:rFonts w:ascii="宋体" w:hAnsi="宋体" w:cs="宋体"/>
                <w:sz w:val="24"/>
                <w:szCs w:val="24"/>
              </w:rPr>
            </w:pPr>
            <w:r>
              <w:rPr>
                <w:rFonts w:hint="eastAsia" w:ascii="宋体" w:hAnsi="宋体" w:cs="宋体"/>
                <w:sz w:val="24"/>
                <w:szCs w:val="24"/>
              </w:rPr>
              <w:t>环境目标及其实现的策划</w:t>
            </w:r>
          </w:p>
          <w:p>
            <w:pPr>
              <w:rPr>
                <w:rFonts w:ascii="宋体" w:hAnsi="宋体" w:cs="宋体"/>
                <w:sz w:val="24"/>
                <w:szCs w:val="24"/>
              </w:rPr>
            </w:pPr>
            <w:r>
              <w:rPr>
                <w:rFonts w:hint="eastAsia" w:ascii="宋体" w:hAnsi="宋体" w:cs="宋体"/>
                <w:sz w:val="24"/>
                <w:szCs w:val="24"/>
              </w:rPr>
              <w:t>环境目标</w:t>
            </w:r>
          </w:p>
          <w:p>
            <w:pPr>
              <w:rPr>
                <w:rFonts w:ascii="宋体" w:hAnsi="宋体" w:cs="宋体"/>
                <w:sz w:val="24"/>
                <w:szCs w:val="24"/>
              </w:rPr>
            </w:pPr>
            <w:r>
              <w:rPr>
                <w:rFonts w:hint="eastAsia" w:ascii="宋体" w:hAnsi="宋体" w:cs="宋体"/>
                <w:sz w:val="24"/>
                <w:szCs w:val="24"/>
              </w:rPr>
              <w:t>目标和方案</w:t>
            </w:r>
          </w:p>
          <w:p>
            <w:pPr>
              <w:rPr>
                <w:rFonts w:ascii="宋体" w:hAnsi="宋体" w:cs="宋体"/>
                <w:sz w:val="24"/>
                <w:szCs w:val="24"/>
              </w:rPr>
            </w:pPr>
          </w:p>
        </w:tc>
        <w:tc>
          <w:tcPr>
            <w:tcW w:w="960" w:type="dxa"/>
          </w:tcPr>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Q/E6.2</w:t>
            </w:r>
          </w:p>
          <w:p>
            <w:pPr>
              <w:rPr>
                <w:rFonts w:ascii="宋体" w:hAnsi="宋体" w:cs="宋体"/>
                <w:sz w:val="24"/>
                <w:szCs w:val="24"/>
              </w:rPr>
            </w:pPr>
            <w:r>
              <w:rPr>
                <w:rFonts w:hint="eastAsia" w:ascii="宋体" w:hAnsi="宋体" w:cs="宋体"/>
                <w:sz w:val="24"/>
                <w:szCs w:val="24"/>
              </w:rPr>
              <w:t>S4.4.3</w:t>
            </w:r>
          </w:p>
          <w:p>
            <w:pPr>
              <w:rPr>
                <w:rFonts w:ascii="宋体" w:hAnsi="宋体" w:cs="宋体"/>
                <w:sz w:val="24"/>
                <w:szCs w:val="24"/>
              </w:rPr>
            </w:pPr>
          </w:p>
        </w:tc>
        <w:tc>
          <w:tcPr>
            <w:tcW w:w="11151" w:type="dxa"/>
          </w:tcPr>
          <w:p>
            <w:pPr>
              <w:adjustRightInd w:val="0"/>
              <w:snapToGrid w:val="0"/>
              <w:spacing w:line="520" w:lineRule="exact"/>
              <w:ind w:firstLine="420" w:firstLineChars="200"/>
              <w:rPr>
                <w:rFonts w:ascii="宋体" w:hAnsi="宋体"/>
                <w:szCs w:val="24"/>
              </w:rPr>
            </w:pPr>
          </w:p>
          <w:p>
            <w:pPr>
              <w:adjustRightInd w:val="0"/>
              <w:snapToGrid w:val="0"/>
              <w:spacing w:line="520" w:lineRule="exact"/>
              <w:ind w:firstLine="420" w:firstLineChars="200"/>
              <w:rPr>
                <w:rFonts w:ascii="宋体" w:hAnsi="宋体"/>
                <w:szCs w:val="24"/>
              </w:rPr>
            </w:pPr>
            <w:r>
              <w:rPr>
                <w:rFonts w:hint="eastAsia" w:ascii="宋体" w:hAnsi="宋体"/>
                <w:szCs w:val="24"/>
              </w:rPr>
              <w:t>■公司制定【目标指标和方案控制程序】来规划公司的整体质量、环境及职业健康安全目标，并以目标管理方法层层展开落实，各部门依据公司整体目标制订相应的质量、环境及职业健康安全目标实施方案并统计实绩，根据每年目标达成状况，通过管理审查会议审查评估绩效并制定下一年度的目标。</w:t>
            </w:r>
          </w:p>
          <w:p>
            <w:pPr>
              <w:adjustRightInd w:val="0"/>
              <w:snapToGrid w:val="0"/>
              <w:spacing w:line="520" w:lineRule="exact"/>
              <w:ind w:firstLine="420" w:firstLineChars="200"/>
              <w:rPr>
                <w:rFonts w:ascii="宋体" w:hAnsi="宋体"/>
                <w:szCs w:val="24"/>
              </w:rPr>
            </w:pPr>
          </w:p>
          <w:tbl>
            <w:tblPr>
              <w:tblStyle w:val="6"/>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544"/>
              <w:gridCol w:w="3124"/>
              <w:gridCol w:w="697"/>
              <w:gridCol w:w="4048"/>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532" w:type="dxa"/>
                  <w:vAlign w:val="center"/>
                </w:tcPr>
                <w:p>
                  <w:pPr>
                    <w:adjustRightInd w:val="0"/>
                    <w:snapToGrid w:val="0"/>
                    <w:spacing w:line="520" w:lineRule="exact"/>
                    <w:ind w:firstLine="420" w:firstLineChars="200"/>
                    <w:rPr>
                      <w:rFonts w:ascii="宋体" w:hAnsi="宋体"/>
                      <w:szCs w:val="24"/>
                    </w:rPr>
                  </w:pPr>
                </w:p>
              </w:tc>
              <w:tc>
                <w:tcPr>
                  <w:tcW w:w="3668" w:type="dxa"/>
                  <w:gridSpan w:val="2"/>
                  <w:vAlign w:val="center"/>
                </w:tcPr>
                <w:p>
                  <w:pPr>
                    <w:adjustRightInd w:val="0"/>
                    <w:snapToGrid w:val="0"/>
                    <w:spacing w:line="520" w:lineRule="exact"/>
                    <w:ind w:firstLine="420" w:firstLineChars="200"/>
                    <w:rPr>
                      <w:rFonts w:ascii="宋体" w:hAnsi="宋体"/>
                      <w:szCs w:val="24"/>
                    </w:rPr>
                  </w:pPr>
                  <w:r>
                    <w:rPr>
                      <w:rFonts w:hint="eastAsia" w:ascii="宋体" w:hAnsi="宋体"/>
                      <w:szCs w:val="24"/>
                    </w:rPr>
                    <w:t>目   标</w:t>
                  </w:r>
                </w:p>
              </w:tc>
              <w:tc>
                <w:tcPr>
                  <w:tcW w:w="697" w:type="dxa"/>
                  <w:vAlign w:val="center"/>
                </w:tcPr>
                <w:p>
                  <w:pPr>
                    <w:adjustRightInd w:val="0"/>
                    <w:snapToGrid w:val="0"/>
                    <w:spacing w:line="520" w:lineRule="exact"/>
                    <w:rPr>
                      <w:rFonts w:ascii="宋体" w:hAnsi="宋体"/>
                      <w:szCs w:val="24"/>
                    </w:rPr>
                  </w:pPr>
                  <w:r>
                    <w:rPr>
                      <w:rFonts w:hint="eastAsia" w:ascii="宋体" w:hAnsi="宋体"/>
                      <w:szCs w:val="24"/>
                    </w:rPr>
                    <w:t>考核频次</w:t>
                  </w:r>
                </w:p>
              </w:tc>
              <w:tc>
                <w:tcPr>
                  <w:tcW w:w="4048" w:type="dxa"/>
                  <w:vAlign w:val="center"/>
                </w:tcPr>
                <w:p>
                  <w:pPr>
                    <w:adjustRightInd w:val="0"/>
                    <w:snapToGrid w:val="0"/>
                    <w:spacing w:line="520" w:lineRule="exact"/>
                    <w:ind w:firstLine="420" w:firstLineChars="200"/>
                    <w:rPr>
                      <w:rFonts w:ascii="宋体" w:hAnsi="宋体"/>
                      <w:szCs w:val="24"/>
                    </w:rPr>
                  </w:pPr>
                  <w:r>
                    <w:rPr>
                      <w:rFonts w:hint="eastAsia" w:ascii="宋体" w:hAnsi="宋体"/>
                      <w:szCs w:val="24"/>
                    </w:rPr>
                    <w:t>考核办法</w:t>
                  </w:r>
                </w:p>
              </w:tc>
              <w:tc>
                <w:tcPr>
                  <w:tcW w:w="1078" w:type="dxa"/>
                  <w:vAlign w:val="center"/>
                </w:tcPr>
                <w:p>
                  <w:pPr>
                    <w:adjustRightInd w:val="0"/>
                    <w:snapToGrid w:val="0"/>
                    <w:spacing w:line="520" w:lineRule="exact"/>
                    <w:jc w:val="center"/>
                    <w:rPr>
                      <w:rFonts w:ascii="宋体" w:hAnsi="宋体"/>
                      <w:szCs w:val="24"/>
                    </w:rPr>
                  </w:pPr>
                  <w:r>
                    <w:rPr>
                      <w:rFonts w:hint="eastAsia" w:ascii="宋体" w:hAnsi="宋体"/>
                      <w:szCs w:val="24"/>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32" w:type="dxa"/>
                  <w:vMerge w:val="restart"/>
                  <w:vAlign w:val="center"/>
                </w:tcPr>
                <w:p>
                  <w:pPr>
                    <w:adjustRightInd w:val="0"/>
                    <w:snapToGrid w:val="0"/>
                    <w:spacing w:line="520" w:lineRule="exact"/>
                    <w:rPr>
                      <w:rFonts w:ascii="宋体" w:hAnsi="宋体"/>
                      <w:szCs w:val="24"/>
                    </w:rPr>
                  </w:pPr>
                  <w:r>
                    <w:rPr>
                      <w:rFonts w:hint="eastAsia" w:ascii="宋体" w:hAnsi="宋体"/>
                      <w:szCs w:val="24"/>
                    </w:rPr>
                    <w:t>行政管理部</w:t>
                  </w:r>
                </w:p>
              </w:tc>
              <w:tc>
                <w:tcPr>
                  <w:tcW w:w="544" w:type="dxa"/>
                  <w:vMerge w:val="restart"/>
                  <w:vAlign w:val="center"/>
                </w:tcPr>
                <w:p>
                  <w:pPr>
                    <w:adjustRightInd w:val="0"/>
                    <w:snapToGrid w:val="0"/>
                    <w:spacing w:line="520" w:lineRule="exact"/>
                    <w:rPr>
                      <w:rFonts w:ascii="宋体" w:hAnsi="宋体"/>
                      <w:szCs w:val="24"/>
                    </w:rPr>
                  </w:pPr>
                  <w:r>
                    <w:rPr>
                      <w:rFonts w:hint="eastAsia" w:ascii="宋体" w:hAnsi="宋体"/>
                      <w:szCs w:val="24"/>
                    </w:rPr>
                    <w:t>质量</w:t>
                  </w:r>
                </w:p>
              </w:tc>
              <w:tc>
                <w:tcPr>
                  <w:tcW w:w="3124" w:type="dxa"/>
                </w:tcPr>
                <w:p>
                  <w:pPr>
                    <w:adjustRightInd w:val="0"/>
                    <w:snapToGrid w:val="0"/>
                    <w:spacing w:line="520" w:lineRule="exact"/>
                    <w:rPr>
                      <w:rFonts w:ascii="宋体" w:hAnsi="宋体"/>
                      <w:szCs w:val="24"/>
                    </w:rPr>
                  </w:pPr>
                  <w:r>
                    <w:rPr>
                      <w:rFonts w:hint="eastAsia" w:ascii="宋体" w:hAnsi="宋体"/>
                      <w:szCs w:val="24"/>
                    </w:rPr>
                    <w:t>年度培训计划执行率100％</w:t>
                  </w:r>
                </w:p>
              </w:tc>
              <w:tc>
                <w:tcPr>
                  <w:tcW w:w="697" w:type="dxa"/>
                </w:tcPr>
                <w:p>
                  <w:pPr>
                    <w:adjustRightInd w:val="0"/>
                    <w:snapToGrid w:val="0"/>
                    <w:spacing w:line="520" w:lineRule="exact"/>
                    <w:rPr>
                      <w:rFonts w:ascii="宋体" w:hAnsi="宋体"/>
                      <w:szCs w:val="24"/>
                    </w:rPr>
                  </w:pPr>
                  <w:r>
                    <w:rPr>
                      <w:rFonts w:hint="eastAsia" w:ascii="宋体" w:hAnsi="宋体"/>
                      <w:szCs w:val="24"/>
                    </w:rPr>
                    <w:t>年度</w:t>
                  </w:r>
                </w:p>
              </w:tc>
              <w:tc>
                <w:tcPr>
                  <w:tcW w:w="4048" w:type="dxa"/>
                </w:tcPr>
                <w:p>
                  <w:pPr>
                    <w:adjustRightInd w:val="0"/>
                    <w:snapToGrid w:val="0"/>
                    <w:spacing w:line="520" w:lineRule="exact"/>
                    <w:rPr>
                      <w:rFonts w:ascii="宋体" w:hAnsi="宋体"/>
                      <w:szCs w:val="24"/>
                    </w:rPr>
                  </w:pPr>
                  <w:r>
                    <w:rPr>
                      <w:rFonts w:hint="eastAsia" w:ascii="宋体" w:hAnsi="宋体"/>
                      <w:szCs w:val="24"/>
                    </w:rPr>
                    <w:t>培训计划完成数/年度培训计划数×100%</w:t>
                  </w:r>
                </w:p>
              </w:tc>
              <w:tc>
                <w:tcPr>
                  <w:tcW w:w="1078" w:type="dxa"/>
                  <w:vAlign w:val="center"/>
                </w:tcPr>
                <w:p>
                  <w:pPr>
                    <w:adjustRightInd w:val="0"/>
                    <w:snapToGrid w:val="0"/>
                    <w:spacing w:line="520" w:lineRule="exact"/>
                    <w:jc w:val="center"/>
                    <w:rPr>
                      <w:rFonts w:ascii="宋体" w:hAnsi="宋体"/>
                      <w:szCs w:val="24"/>
                    </w:rPr>
                  </w:pPr>
                  <w:r>
                    <w:rPr>
                      <w:rFonts w:hint="eastAsia" w:ascii="宋体" w:hAnsi="宋体"/>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32" w:type="dxa"/>
                  <w:vMerge w:val="continue"/>
                  <w:vAlign w:val="center"/>
                </w:tcPr>
                <w:p>
                  <w:pPr>
                    <w:adjustRightInd w:val="0"/>
                    <w:snapToGrid w:val="0"/>
                    <w:spacing w:line="520" w:lineRule="exact"/>
                    <w:ind w:firstLine="420" w:firstLineChars="200"/>
                    <w:rPr>
                      <w:rFonts w:ascii="宋体" w:hAnsi="宋体"/>
                      <w:szCs w:val="24"/>
                    </w:rPr>
                  </w:pPr>
                </w:p>
              </w:tc>
              <w:tc>
                <w:tcPr>
                  <w:tcW w:w="544" w:type="dxa"/>
                  <w:vMerge w:val="continue"/>
                  <w:vAlign w:val="center"/>
                </w:tcPr>
                <w:p>
                  <w:pPr>
                    <w:adjustRightInd w:val="0"/>
                    <w:snapToGrid w:val="0"/>
                    <w:spacing w:line="520" w:lineRule="exact"/>
                    <w:ind w:firstLine="420" w:firstLineChars="200"/>
                    <w:rPr>
                      <w:rFonts w:ascii="宋体" w:hAnsi="宋体"/>
                      <w:szCs w:val="24"/>
                    </w:rPr>
                  </w:pPr>
                </w:p>
              </w:tc>
              <w:tc>
                <w:tcPr>
                  <w:tcW w:w="3124" w:type="dxa"/>
                </w:tcPr>
                <w:p>
                  <w:pPr>
                    <w:adjustRightInd w:val="0"/>
                    <w:snapToGrid w:val="0"/>
                    <w:spacing w:line="520" w:lineRule="exact"/>
                    <w:rPr>
                      <w:rFonts w:ascii="宋体" w:hAnsi="宋体"/>
                      <w:szCs w:val="24"/>
                    </w:rPr>
                  </w:pPr>
                  <w:r>
                    <w:rPr>
                      <w:rFonts w:hint="eastAsia" w:ascii="宋体" w:hAnsi="宋体"/>
                      <w:szCs w:val="24"/>
                    </w:rPr>
                    <w:t>人员岗位绩效考核合格率98%</w:t>
                  </w:r>
                </w:p>
              </w:tc>
              <w:tc>
                <w:tcPr>
                  <w:tcW w:w="697" w:type="dxa"/>
                </w:tcPr>
                <w:p>
                  <w:pPr>
                    <w:adjustRightInd w:val="0"/>
                    <w:snapToGrid w:val="0"/>
                    <w:spacing w:line="520" w:lineRule="exact"/>
                    <w:rPr>
                      <w:rFonts w:ascii="宋体" w:hAnsi="宋体"/>
                      <w:szCs w:val="24"/>
                    </w:rPr>
                  </w:pPr>
                  <w:r>
                    <w:rPr>
                      <w:rFonts w:hint="eastAsia" w:ascii="宋体" w:hAnsi="宋体"/>
                      <w:szCs w:val="24"/>
                    </w:rPr>
                    <w:t>年度</w:t>
                  </w:r>
                </w:p>
              </w:tc>
              <w:tc>
                <w:tcPr>
                  <w:tcW w:w="4048" w:type="dxa"/>
                </w:tcPr>
                <w:p>
                  <w:pPr>
                    <w:adjustRightInd w:val="0"/>
                    <w:snapToGrid w:val="0"/>
                    <w:spacing w:line="520" w:lineRule="exact"/>
                    <w:rPr>
                      <w:rFonts w:ascii="宋体" w:hAnsi="宋体"/>
                      <w:szCs w:val="24"/>
                    </w:rPr>
                  </w:pPr>
                  <w:r>
                    <w:rPr>
                      <w:rFonts w:hint="eastAsia" w:ascii="宋体" w:hAnsi="宋体"/>
                      <w:szCs w:val="24"/>
                    </w:rPr>
                    <w:t>岗位绩效考核合格数/岗位绩效考核总数</w:t>
                  </w:r>
                </w:p>
              </w:tc>
              <w:tc>
                <w:tcPr>
                  <w:tcW w:w="1078" w:type="dxa"/>
                  <w:vAlign w:val="center"/>
                </w:tcPr>
                <w:p>
                  <w:pPr>
                    <w:adjustRightInd w:val="0"/>
                    <w:snapToGrid w:val="0"/>
                    <w:spacing w:line="520" w:lineRule="exact"/>
                    <w:jc w:val="center"/>
                    <w:rPr>
                      <w:rFonts w:ascii="宋体" w:hAnsi="宋体"/>
                      <w:szCs w:val="24"/>
                    </w:rPr>
                  </w:pPr>
                  <w:r>
                    <w:rPr>
                      <w:rFonts w:hint="eastAsia" w:ascii="宋体" w:hAnsi="宋体"/>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532" w:type="dxa"/>
                  <w:vMerge w:val="continue"/>
                  <w:vAlign w:val="center"/>
                </w:tcPr>
                <w:p>
                  <w:pPr>
                    <w:adjustRightInd w:val="0"/>
                    <w:snapToGrid w:val="0"/>
                    <w:spacing w:line="520" w:lineRule="exact"/>
                    <w:ind w:firstLine="420" w:firstLineChars="200"/>
                    <w:rPr>
                      <w:rFonts w:ascii="宋体" w:hAnsi="宋体"/>
                      <w:szCs w:val="24"/>
                    </w:rPr>
                  </w:pPr>
                </w:p>
              </w:tc>
              <w:tc>
                <w:tcPr>
                  <w:tcW w:w="544" w:type="dxa"/>
                  <w:vMerge w:val="restart"/>
                  <w:vAlign w:val="center"/>
                </w:tcPr>
                <w:p>
                  <w:pPr>
                    <w:adjustRightInd w:val="0"/>
                    <w:snapToGrid w:val="0"/>
                    <w:spacing w:line="520" w:lineRule="exact"/>
                    <w:rPr>
                      <w:rFonts w:ascii="宋体" w:hAnsi="宋体"/>
                      <w:szCs w:val="24"/>
                    </w:rPr>
                  </w:pPr>
                  <w:r>
                    <w:rPr>
                      <w:rFonts w:hint="eastAsia" w:ascii="宋体" w:hAnsi="宋体"/>
                      <w:szCs w:val="24"/>
                    </w:rPr>
                    <w:t>环境</w:t>
                  </w:r>
                </w:p>
              </w:tc>
              <w:tc>
                <w:tcPr>
                  <w:tcW w:w="3124" w:type="dxa"/>
                </w:tcPr>
                <w:p>
                  <w:pPr>
                    <w:adjustRightInd w:val="0"/>
                    <w:snapToGrid w:val="0"/>
                    <w:spacing w:line="520" w:lineRule="exact"/>
                    <w:rPr>
                      <w:rFonts w:ascii="宋体" w:hAnsi="宋体"/>
                      <w:szCs w:val="24"/>
                    </w:rPr>
                  </w:pPr>
                  <w:r>
                    <w:rPr>
                      <w:rFonts w:hint="eastAsia" w:ascii="宋体" w:hAnsi="宋体"/>
                      <w:szCs w:val="24"/>
                    </w:rPr>
                    <w:t>确保特殊工种持证上岗率达到100%；</w:t>
                  </w:r>
                </w:p>
              </w:tc>
              <w:tc>
                <w:tcPr>
                  <w:tcW w:w="697" w:type="dxa"/>
                </w:tcPr>
                <w:p>
                  <w:pPr>
                    <w:adjustRightInd w:val="0"/>
                    <w:snapToGrid w:val="0"/>
                    <w:spacing w:line="520" w:lineRule="exact"/>
                    <w:rPr>
                      <w:rFonts w:ascii="宋体" w:hAnsi="宋体"/>
                      <w:szCs w:val="24"/>
                    </w:rPr>
                  </w:pPr>
                  <w:r>
                    <w:rPr>
                      <w:rFonts w:hint="eastAsia" w:ascii="宋体" w:hAnsi="宋体"/>
                      <w:szCs w:val="24"/>
                    </w:rPr>
                    <w:t>年度</w:t>
                  </w:r>
                </w:p>
              </w:tc>
              <w:tc>
                <w:tcPr>
                  <w:tcW w:w="4048" w:type="dxa"/>
                </w:tcPr>
                <w:p>
                  <w:pPr>
                    <w:adjustRightInd w:val="0"/>
                    <w:snapToGrid w:val="0"/>
                    <w:spacing w:line="520" w:lineRule="exact"/>
                    <w:rPr>
                      <w:rFonts w:ascii="宋体" w:hAnsi="宋体"/>
                      <w:szCs w:val="24"/>
                    </w:rPr>
                  </w:pPr>
                  <w:r>
                    <w:rPr>
                      <w:rFonts w:hint="eastAsia" w:ascii="宋体" w:hAnsi="宋体"/>
                      <w:szCs w:val="24"/>
                    </w:rPr>
                    <w:t>现有持证上岗人数/持证上岗应有人数×100%</w:t>
                  </w:r>
                </w:p>
              </w:tc>
              <w:tc>
                <w:tcPr>
                  <w:tcW w:w="1078" w:type="dxa"/>
                  <w:vAlign w:val="center"/>
                </w:tcPr>
                <w:p>
                  <w:pPr>
                    <w:adjustRightInd w:val="0"/>
                    <w:snapToGrid w:val="0"/>
                    <w:spacing w:line="520" w:lineRule="exact"/>
                    <w:jc w:val="center"/>
                    <w:rPr>
                      <w:rFonts w:ascii="宋体" w:hAnsi="宋体"/>
                      <w:szCs w:val="24"/>
                    </w:rPr>
                  </w:pPr>
                  <w:r>
                    <w:rPr>
                      <w:rFonts w:hint="eastAsia" w:ascii="宋体" w:hAnsi="宋体"/>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jc w:val="center"/>
              </w:trPr>
              <w:tc>
                <w:tcPr>
                  <w:tcW w:w="532" w:type="dxa"/>
                  <w:vMerge w:val="continue"/>
                  <w:vAlign w:val="center"/>
                </w:tcPr>
                <w:p>
                  <w:pPr>
                    <w:adjustRightInd w:val="0"/>
                    <w:snapToGrid w:val="0"/>
                    <w:spacing w:line="520" w:lineRule="exact"/>
                    <w:ind w:firstLine="420" w:firstLineChars="200"/>
                    <w:rPr>
                      <w:rFonts w:ascii="宋体" w:hAnsi="宋体"/>
                      <w:szCs w:val="24"/>
                    </w:rPr>
                  </w:pPr>
                </w:p>
              </w:tc>
              <w:tc>
                <w:tcPr>
                  <w:tcW w:w="544" w:type="dxa"/>
                  <w:vMerge w:val="continue"/>
                  <w:vAlign w:val="center"/>
                </w:tcPr>
                <w:p>
                  <w:pPr>
                    <w:adjustRightInd w:val="0"/>
                    <w:snapToGrid w:val="0"/>
                    <w:spacing w:line="520" w:lineRule="exact"/>
                    <w:ind w:firstLine="420" w:firstLineChars="200"/>
                    <w:rPr>
                      <w:rFonts w:ascii="宋体" w:hAnsi="宋体"/>
                      <w:szCs w:val="24"/>
                    </w:rPr>
                  </w:pPr>
                </w:p>
              </w:tc>
              <w:tc>
                <w:tcPr>
                  <w:tcW w:w="3124" w:type="dxa"/>
                </w:tcPr>
                <w:p>
                  <w:pPr>
                    <w:adjustRightInd w:val="0"/>
                    <w:snapToGrid w:val="0"/>
                    <w:spacing w:line="520" w:lineRule="exact"/>
                    <w:rPr>
                      <w:rFonts w:ascii="宋体" w:hAnsi="宋体"/>
                      <w:szCs w:val="24"/>
                    </w:rPr>
                  </w:pPr>
                  <w:r>
                    <w:rPr>
                      <w:rFonts w:hint="eastAsia" w:ascii="宋体" w:hAnsi="宋体"/>
                      <w:szCs w:val="24"/>
                    </w:rPr>
                    <w:t>固体废弃物分类处置率100%</w:t>
                  </w:r>
                </w:p>
              </w:tc>
              <w:tc>
                <w:tcPr>
                  <w:tcW w:w="697" w:type="dxa"/>
                </w:tcPr>
                <w:p>
                  <w:pPr>
                    <w:adjustRightInd w:val="0"/>
                    <w:snapToGrid w:val="0"/>
                    <w:spacing w:line="520" w:lineRule="exact"/>
                    <w:rPr>
                      <w:rFonts w:ascii="宋体" w:hAnsi="宋体"/>
                      <w:szCs w:val="24"/>
                    </w:rPr>
                  </w:pPr>
                  <w:r>
                    <w:rPr>
                      <w:rFonts w:hint="eastAsia" w:ascii="宋体" w:hAnsi="宋体"/>
                      <w:szCs w:val="24"/>
                    </w:rPr>
                    <w:t>季度</w:t>
                  </w:r>
                </w:p>
              </w:tc>
              <w:tc>
                <w:tcPr>
                  <w:tcW w:w="4048" w:type="dxa"/>
                </w:tcPr>
                <w:p>
                  <w:pPr>
                    <w:adjustRightInd w:val="0"/>
                    <w:snapToGrid w:val="0"/>
                    <w:spacing w:line="520" w:lineRule="exact"/>
                    <w:rPr>
                      <w:rFonts w:ascii="宋体" w:hAnsi="宋体"/>
                      <w:szCs w:val="24"/>
                    </w:rPr>
                  </w:pPr>
                  <w:r>
                    <w:rPr>
                      <w:rFonts w:hint="eastAsia" w:ascii="宋体" w:hAnsi="宋体"/>
                      <w:szCs w:val="24"/>
                    </w:rPr>
                    <w:t>可回收、不可回收、危险废弃物分类投放</w:t>
                  </w:r>
                </w:p>
              </w:tc>
              <w:tc>
                <w:tcPr>
                  <w:tcW w:w="1078" w:type="dxa"/>
                  <w:vAlign w:val="center"/>
                </w:tcPr>
                <w:p>
                  <w:pPr>
                    <w:adjustRightInd w:val="0"/>
                    <w:snapToGrid w:val="0"/>
                    <w:spacing w:line="520" w:lineRule="exact"/>
                    <w:jc w:val="center"/>
                    <w:rPr>
                      <w:rFonts w:ascii="宋体" w:hAnsi="宋体"/>
                      <w:szCs w:val="24"/>
                    </w:rPr>
                  </w:pPr>
                  <w:r>
                    <w:rPr>
                      <w:rFonts w:hint="eastAsia" w:ascii="宋体" w:hAnsi="宋体"/>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32" w:type="dxa"/>
                  <w:vMerge w:val="continue"/>
                  <w:vAlign w:val="center"/>
                </w:tcPr>
                <w:p>
                  <w:pPr>
                    <w:adjustRightInd w:val="0"/>
                    <w:snapToGrid w:val="0"/>
                    <w:spacing w:line="520" w:lineRule="exact"/>
                    <w:ind w:firstLine="420" w:firstLineChars="200"/>
                    <w:rPr>
                      <w:rFonts w:ascii="宋体" w:hAnsi="宋体"/>
                      <w:szCs w:val="24"/>
                    </w:rPr>
                  </w:pPr>
                </w:p>
              </w:tc>
              <w:tc>
                <w:tcPr>
                  <w:tcW w:w="544" w:type="dxa"/>
                  <w:vMerge w:val="restart"/>
                  <w:vAlign w:val="center"/>
                </w:tcPr>
                <w:p>
                  <w:pPr>
                    <w:adjustRightInd w:val="0"/>
                    <w:snapToGrid w:val="0"/>
                    <w:spacing w:line="520" w:lineRule="exact"/>
                    <w:rPr>
                      <w:rFonts w:ascii="宋体" w:hAnsi="宋体"/>
                      <w:szCs w:val="24"/>
                    </w:rPr>
                  </w:pPr>
                  <w:r>
                    <w:rPr>
                      <w:rFonts w:hint="eastAsia" w:ascii="宋体" w:hAnsi="宋体"/>
                      <w:szCs w:val="24"/>
                    </w:rPr>
                    <w:t>安全</w:t>
                  </w:r>
                </w:p>
              </w:tc>
              <w:tc>
                <w:tcPr>
                  <w:tcW w:w="3124" w:type="dxa"/>
                </w:tcPr>
                <w:p>
                  <w:pPr>
                    <w:adjustRightInd w:val="0"/>
                    <w:snapToGrid w:val="0"/>
                    <w:spacing w:line="520" w:lineRule="exact"/>
                    <w:rPr>
                      <w:rFonts w:ascii="宋体" w:hAnsi="宋体"/>
                      <w:szCs w:val="24"/>
                    </w:rPr>
                  </w:pPr>
                  <w:r>
                    <w:rPr>
                      <w:rFonts w:hint="eastAsia" w:ascii="宋体" w:hAnsi="宋体"/>
                      <w:szCs w:val="24"/>
                    </w:rPr>
                    <w:t>保证改善所需资金</w:t>
                  </w:r>
                </w:p>
              </w:tc>
              <w:tc>
                <w:tcPr>
                  <w:tcW w:w="697" w:type="dxa"/>
                </w:tcPr>
                <w:p>
                  <w:pPr>
                    <w:adjustRightInd w:val="0"/>
                    <w:snapToGrid w:val="0"/>
                    <w:spacing w:line="520" w:lineRule="exact"/>
                    <w:rPr>
                      <w:rFonts w:ascii="宋体" w:hAnsi="宋体"/>
                      <w:szCs w:val="24"/>
                    </w:rPr>
                  </w:pPr>
                  <w:r>
                    <w:rPr>
                      <w:rFonts w:hint="eastAsia" w:ascii="宋体" w:hAnsi="宋体"/>
                      <w:szCs w:val="24"/>
                    </w:rPr>
                    <w:t>年度</w:t>
                  </w:r>
                </w:p>
              </w:tc>
              <w:tc>
                <w:tcPr>
                  <w:tcW w:w="4048" w:type="dxa"/>
                </w:tcPr>
                <w:p>
                  <w:pPr>
                    <w:adjustRightInd w:val="0"/>
                    <w:snapToGrid w:val="0"/>
                    <w:spacing w:line="520" w:lineRule="exact"/>
                    <w:rPr>
                      <w:rFonts w:ascii="宋体" w:hAnsi="宋体"/>
                      <w:szCs w:val="24"/>
                    </w:rPr>
                  </w:pPr>
                  <w:r>
                    <w:rPr>
                      <w:rFonts w:hint="eastAsia" w:ascii="宋体" w:hAnsi="宋体"/>
                      <w:szCs w:val="24"/>
                    </w:rPr>
                    <w:t>设备完好数/设备总数×100%</w:t>
                  </w:r>
                </w:p>
              </w:tc>
              <w:tc>
                <w:tcPr>
                  <w:tcW w:w="1078" w:type="dxa"/>
                  <w:vAlign w:val="center"/>
                </w:tcPr>
                <w:p>
                  <w:pPr>
                    <w:adjustRightInd w:val="0"/>
                    <w:snapToGrid w:val="0"/>
                    <w:spacing w:line="520" w:lineRule="exact"/>
                    <w:jc w:val="center"/>
                    <w:rPr>
                      <w:rFonts w:ascii="宋体" w:hAnsi="宋体"/>
                      <w:szCs w:val="24"/>
                    </w:rPr>
                  </w:pPr>
                  <w:r>
                    <w:rPr>
                      <w:rFonts w:hint="eastAsia" w:ascii="宋体" w:hAnsi="宋体"/>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32" w:type="dxa"/>
                  <w:vMerge w:val="continue"/>
                  <w:vAlign w:val="center"/>
                </w:tcPr>
                <w:p>
                  <w:pPr>
                    <w:adjustRightInd w:val="0"/>
                    <w:snapToGrid w:val="0"/>
                    <w:spacing w:line="520" w:lineRule="exact"/>
                    <w:ind w:firstLine="420" w:firstLineChars="200"/>
                    <w:rPr>
                      <w:rFonts w:ascii="宋体" w:hAnsi="宋体"/>
                      <w:szCs w:val="24"/>
                    </w:rPr>
                  </w:pPr>
                </w:p>
              </w:tc>
              <w:tc>
                <w:tcPr>
                  <w:tcW w:w="544" w:type="dxa"/>
                  <w:vMerge w:val="continue"/>
                  <w:vAlign w:val="center"/>
                </w:tcPr>
                <w:p>
                  <w:pPr>
                    <w:adjustRightInd w:val="0"/>
                    <w:snapToGrid w:val="0"/>
                    <w:spacing w:line="520" w:lineRule="exact"/>
                    <w:ind w:firstLine="420" w:firstLineChars="200"/>
                    <w:rPr>
                      <w:rFonts w:ascii="宋体" w:hAnsi="宋体"/>
                      <w:szCs w:val="24"/>
                    </w:rPr>
                  </w:pPr>
                </w:p>
              </w:tc>
              <w:tc>
                <w:tcPr>
                  <w:tcW w:w="3124" w:type="dxa"/>
                </w:tcPr>
                <w:p>
                  <w:pPr>
                    <w:adjustRightInd w:val="0"/>
                    <w:snapToGrid w:val="0"/>
                    <w:spacing w:line="520" w:lineRule="exact"/>
                    <w:rPr>
                      <w:rFonts w:ascii="宋体" w:hAnsi="宋体"/>
                      <w:szCs w:val="24"/>
                    </w:rPr>
                  </w:pPr>
                  <w:r>
                    <w:rPr>
                      <w:rFonts w:hint="eastAsia" w:ascii="宋体" w:hAnsi="宋体"/>
                      <w:szCs w:val="24"/>
                    </w:rPr>
                    <w:t>危险源整改率达100%</w:t>
                  </w:r>
                </w:p>
              </w:tc>
              <w:tc>
                <w:tcPr>
                  <w:tcW w:w="697" w:type="dxa"/>
                </w:tcPr>
                <w:p>
                  <w:pPr>
                    <w:adjustRightInd w:val="0"/>
                    <w:snapToGrid w:val="0"/>
                    <w:spacing w:line="520" w:lineRule="exact"/>
                    <w:rPr>
                      <w:rFonts w:ascii="宋体" w:hAnsi="宋体"/>
                      <w:szCs w:val="24"/>
                    </w:rPr>
                  </w:pPr>
                  <w:r>
                    <w:rPr>
                      <w:rFonts w:hint="eastAsia" w:ascii="宋体" w:hAnsi="宋体"/>
                      <w:szCs w:val="24"/>
                    </w:rPr>
                    <w:t>季度</w:t>
                  </w:r>
                </w:p>
              </w:tc>
              <w:tc>
                <w:tcPr>
                  <w:tcW w:w="4048" w:type="dxa"/>
                </w:tcPr>
                <w:p>
                  <w:pPr>
                    <w:adjustRightInd w:val="0"/>
                    <w:snapToGrid w:val="0"/>
                    <w:spacing w:line="520" w:lineRule="exact"/>
                    <w:ind w:firstLine="420" w:firstLineChars="200"/>
                    <w:rPr>
                      <w:rFonts w:ascii="宋体" w:hAnsi="宋体"/>
                      <w:szCs w:val="24"/>
                    </w:rPr>
                  </w:pPr>
                  <w:r>
                    <w:rPr>
                      <w:rFonts w:hint="eastAsia" w:ascii="宋体" w:hAnsi="宋体"/>
                      <w:szCs w:val="24"/>
                    </w:rPr>
                    <w:t>危险源整改数/需整改总数×00%</w:t>
                  </w:r>
                </w:p>
              </w:tc>
              <w:tc>
                <w:tcPr>
                  <w:tcW w:w="1078" w:type="dxa"/>
                  <w:vAlign w:val="center"/>
                </w:tcPr>
                <w:p>
                  <w:pPr>
                    <w:adjustRightInd w:val="0"/>
                    <w:snapToGrid w:val="0"/>
                    <w:spacing w:line="520" w:lineRule="exact"/>
                    <w:jc w:val="center"/>
                    <w:rPr>
                      <w:rFonts w:ascii="宋体" w:hAnsi="宋体"/>
                      <w:szCs w:val="24"/>
                    </w:rPr>
                  </w:pPr>
                  <w:r>
                    <w:rPr>
                      <w:rFonts w:hint="eastAsia" w:ascii="宋体" w:hAnsi="宋体"/>
                      <w:szCs w:val="24"/>
                    </w:rPr>
                    <w:t>100%</w:t>
                  </w:r>
                </w:p>
              </w:tc>
            </w:tr>
          </w:tbl>
          <w:p>
            <w:pPr>
              <w:adjustRightInd w:val="0"/>
              <w:snapToGrid w:val="0"/>
              <w:spacing w:line="520" w:lineRule="exact"/>
              <w:ind w:firstLine="420" w:firstLineChars="200"/>
              <w:rPr>
                <w:rFonts w:ascii="宋体" w:hAnsi="宋体"/>
                <w:szCs w:val="24"/>
              </w:rPr>
            </w:pPr>
            <w:r>
              <w:rPr>
                <w:rFonts w:hint="eastAsia" w:ascii="宋体" w:hAnsi="宋体"/>
                <w:szCs w:val="24"/>
              </w:rPr>
              <w:t>提供了“2021年质量、环境、职业健康目标考核办法”“不可接受风险及管理措施”“重要环境因素及管理措施”，对重要环境因素和重要危险源的控制确定了目标和指标：固体废物日出日清，送入指定处；2021年7月6日</w:t>
            </w:r>
          </w:p>
          <w:p>
            <w:pPr>
              <w:adjustRightInd w:val="0"/>
              <w:snapToGrid w:val="0"/>
              <w:spacing w:line="520" w:lineRule="exact"/>
              <w:ind w:firstLine="420" w:firstLineChars="200"/>
              <w:rPr>
                <w:rFonts w:ascii="宋体" w:hAnsi="宋体"/>
                <w:szCs w:val="24"/>
              </w:rPr>
            </w:pPr>
            <w:r>
              <w:rPr>
                <w:rFonts w:hint="eastAsia" w:ascii="宋体" w:hAnsi="宋体"/>
                <w:szCs w:val="24"/>
              </w:rPr>
              <w:t>编制：黄蓉          审批：付利海    2021年 7月6日</w:t>
            </w:r>
          </w:p>
        </w:tc>
        <w:tc>
          <w:tcPr>
            <w:tcW w:w="438" w:type="dxa"/>
            <w:vAlign w:val="center"/>
          </w:tcPr>
          <w:p>
            <w:pPr>
              <w:jc w:val="center"/>
              <w:rPr>
                <w:rFonts w:ascii="宋体" w:hAnsi="宋体" w:cs="宋体"/>
                <w:sz w:val="24"/>
                <w:szCs w:val="24"/>
              </w:rPr>
            </w:pPr>
            <w:r>
              <w:rPr>
                <w:rFonts w:hint="eastAsia" w:ascii="宋体" w:hAnsi="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60" w:type="dxa"/>
          </w:tcPr>
          <w:p>
            <w:pPr>
              <w:rPr>
                <w:rFonts w:ascii="宋体" w:hAnsi="宋体" w:cs="宋体"/>
                <w:color w:val="000000" w:themeColor="text1"/>
                <w:sz w:val="24"/>
                <w:szCs w:val="24"/>
              </w:rPr>
            </w:pPr>
            <w:r>
              <w:rPr>
                <w:rFonts w:hint="eastAsia" w:ascii="宋体" w:hAnsi="宋体" w:cs="宋体"/>
                <w:color w:val="000000" w:themeColor="text1"/>
                <w:sz w:val="24"/>
                <w:szCs w:val="24"/>
              </w:rPr>
              <w:t>人员</w:t>
            </w:r>
          </w:p>
          <w:p>
            <w:pPr>
              <w:rPr>
                <w:rFonts w:ascii="宋体" w:hAnsi="宋体" w:cs="宋体"/>
                <w:sz w:val="24"/>
                <w:szCs w:val="24"/>
              </w:rPr>
            </w:pPr>
          </w:p>
        </w:tc>
        <w:tc>
          <w:tcPr>
            <w:tcW w:w="960" w:type="dxa"/>
          </w:tcPr>
          <w:p>
            <w:pPr>
              <w:rPr>
                <w:rFonts w:ascii="宋体" w:hAnsi="宋体" w:cs="宋体"/>
                <w:sz w:val="24"/>
                <w:szCs w:val="24"/>
              </w:rPr>
            </w:pPr>
            <w:r>
              <w:rPr>
                <w:rFonts w:hint="eastAsia" w:ascii="宋体" w:hAnsi="宋体" w:cs="宋体"/>
                <w:sz w:val="24"/>
                <w:szCs w:val="24"/>
              </w:rPr>
              <w:t>Q7.1.2</w:t>
            </w:r>
          </w:p>
          <w:p>
            <w:pPr>
              <w:rPr>
                <w:rFonts w:ascii="宋体" w:hAnsi="宋体" w:cs="宋体"/>
                <w:sz w:val="24"/>
                <w:szCs w:val="24"/>
              </w:rPr>
            </w:pPr>
          </w:p>
        </w:tc>
        <w:tc>
          <w:tcPr>
            <w:tcW w:w="11151" w:type="dxa"/>
          </w:tcPr>
          <w:p>
            <w:pPr>
              <w:adjustRightInd w:val="0"/>
              <w:snapToGrid w:val="0"/>
              <w:spacing w:line="520" w:lineRule="exact"/>
              <w:ind w:firstLine="420" w:firstLineChars="200"/>
              <w:rPr>
                <w:rFonts w:ascii="宋体" w:hAnsi="宋体"/>
                <w:szCs w:val="24"/>
              </w:rPr>
            </w:pPr>
            <w:r>
              <w:rPr>
                <w:rFonts w:hint="eastAsia" w:ascii="宋体" w:hAnsi="宋体"/>
                <w:szCs w:val="24"/>
              </w:rPr>
              <w:t>■提供了公司人员名单，登记包括总经理在内及住宅业务部、行政管理部、运营管理部等人员共60人。</w:t>
            </w:r>
          </w:p>
          <w:p>
            <w:pPr>
              <w:adjustRightInd w:val="0"/>
              <w:snapToGrid w:val="0"/>
              <w:spacing w:line="520" w:lineRule="exact"/>
              <w:ind w:firstLine="420" w:firstLineChars="200"/>
              <w:rPr>
                <w:rFonts w:ascii="宋体" w:hAnsi="宋体"/>
                <w:szCs w:val="24"/>
              </w:rPr>
            </w:pPr>
            <w:r>
              <w:rPr>
                <w:rFonts w:hint="eastAsia" w:ascii="宋体" w:hAnsi="宋体"/>
                <w:szCs w:val="24"/>
              </w:rPr>
              <w:t>提供了公司同在册人员签订的有效固定期限劳动合同。</w:t>
            </w:r>
          </w:p>
          <w:p>
            <w:pPr>
              <w:adjustRightInd w:val="0"/>
              <w:snapToGrid w:val="0"/>
              <w:spacing w:line="520" w:lineRule="exact"/>
              <w:ind w:firstLine="420" w:firstLineChars="200"/>
              <w:rPr>
                <w:rFonts w:ascii="宋体" w:hAnsi="宋体"/>
                <w:szCs w:val="24"/>
              </w:rPr>
            </w:pPr>
            <w:r>
              <w:rPr>
                <w:rFonts w:hint="eastAsia" w:ascii="宋体" w:hAnsi="宋体"/>
                <w:szCs w:val="24"/>
              </w:rPr>
              <w:t>提供重要工作岗位清单</w:t>
            </w:r>
          </w:p>
          <w:p>
            <w:pPr>
              <w:adjustRightInd w:val="0"/>
              <w:snapToGrid w:val="0"/>
              <w:spacing w:line="520" w:lineRule="exact"/>
              <w:ind w:firstLine="420" w:firstLineChars="200"/>
              <w:rPr>
                <w:rFonts w:ascii="宋体" w:hAnsi="宋体"/>
                <w:szCs w:val="24"/>
              </w:rPr>
            </w:pPr>
            <w:r>
              <w:rPr>
                <w:rFonts w:hint="eastAsia" w:ascii="宋体" w:hAnsi="宋体"/>
                <w:szCs w:val="24"/>
              </w:rPr>
              <w:t>抽查：电工证，姓名：陈少洪，证号：T513426198110096117，有效期：2022.12.20</w:t>
            </w:r>
          </w:p>
          <w:p>
            <w:pPr>
              <w:adjustRightInd w:val="0"/>
              <w:snapToGrid w:val="0"/>
              <w:spacing w:line="520" w:lineRule="exact"/>
              <w:ind w:firstLine="420" w:firstLineChars="200"/>
              <w:rPr>
                <w:rFonts w:hint="eastAsia" w:ascii="宋体" w:hAnsi="宋体"/>
                <w:szCs w:val="24"/>
              </w:rPr>
            </w:pPr>
            <w:r>
              <w:rPr>
                <w:rFonts w:hint="eastAsia" w:ascii="宋体" w:hAnsi="宋体"/>
                <w:szCs w:val="24"/>
              </w:rPr>
              <w:t>抽查：电工证，姓名：尹胜才，证号：T513426198209043517，有效期：2022.11.11</w:t>
            </w:r>
          </w:p>
          <w:p>
            <w:pPr>
              <w:pStyle w:val="2"/>
              <w:rPr>
                <w:rFonts w:hint="eastAsia"/>
              </w:rPr>
            </w:pPr>
            <w:r>
              <w:rPr>
                <w:rFonts w:hint="eastAsia"/>
              </w:rPr>
              <w:t xml:space="preserve">   抽查：特种作业操作证 姓名：魏建平 作业类别：焊接与热切割作业 准操项目：熔化焊接与热切割作业 证书号：T152826197705030036 有效期：2015.8.17-2021.8.17 </w:t>
            </w:r>
          </w:p>
          <w:p>
            <w:pPr>
              <w:pStyle w:val="2"/>
              <w:ind w:firstLine="460" w:firstLineChars="200"/>
            </w:pPr>
            <w:r>
              <w:rPr>
                <w:rFonts w:hint="eastAsia"/>
              </w:rPr>
              <w:t>抽查：特种作业操作证 姓名：胡玉祥 作业类别：焊接与热切割作业 准操项目：熔化焊接与热切割作业 证书号：T630103197108117897  有效期：2017.1.18-2023.1.18</w:t>
            </w:r>
          </w:p>
          <w:p>
            <w:pPr>
              <w:adjustRightInd w:val="0"/>
              <w:snapToGrid w:val="0"/>
              <w:spacing w:line="520" w:lineRule="exact"/>
              <w:ind w:firstLine="420" w:firstLineChars="200"/>
              <w:rPr>
                <w:rFonts w:ascii="宋体" w:hAnsi="宋体"/>
                <w:szCs w:val="24"/>
              </w:rPr>
            </w:pPr>
            <w:r>
              <w:rPr>
                <w:rFonts w:hint="eastAsia" w:ascii="宋体" w:hAnsi="宋体"/>
                <w:szCs w:val="24"/>
              </w:rPr>
              <w:t>抽查：司炉工证，姓名：张远征，证号：632821197311110511，有效期：2022.2.6</w:t>
            </w:r>
          </w:p>
          <w:p>
            <w:pPr>
              <w:adjustRightInd w:val="0"/>
              <w:snapToGrid w:val="0"/>
              <w:spacing w:line="520" w:lineRule="exact"/>
              <w:ind w:firstLine="420" w:firstLineChars="200"/>
              <w:rPr>
                <w:rFonts w:ascii="宋体" w:hAnsi="宋体"/>
                <w:szCs w:val="24"/>
              </w:rPr>
            </w:pPr>
            <w:r>
              <w:rPr>
                <w:rFonts w:hint="eastAsia" w:ascii="宋体" w:hAnsi="宋体"/>
                <w:szCs w:val="24"/>
              </w:rPr>
              <w:t>抽查：高级物业管理师证，姓名：汪玲，证号：10409861</w:t>
            </w:r>
          </w:p>
          <w:p>
            <w:pPr>
              <w:adjustRightInd w:val="0"/>
              <w:snapToGrid w:val="0"/>
              <w:spacing w:line="520" w:lineRule="exact"/>
              <w:ind w:firstLine="420" w:firstLineChars="200"/>
              <w:rPr>
                <w:rFonts w:ascii="宋体" w:hAnsi="宋体"/>
                <w:szCs w:val="24"/>
              </w:rPr>
            </w:pPr>
            <w:r>
              <w:rPr>
                <w:rFonts w:hint="eastAsia" w:ascii="宋体" w:hAnsi="宋体"/>
                <w:szCs w:val="24"/>
              </w:rPr>
              <w:t>抽查：一级注册消防工程师，姓名：卫清华，证号：623824197803030410</w:t>
            </w:r>
          </w:p>
          <w:p>
            <w:pPr>
              <w:adjustRightInd w:val="0"/>
              <w:snapToGrid w:val="0"/>
              <w:spacing w:line="520" w:lineRule="exact"/>
              <w:ind w:firstLine="420" w:firstLineChars="200"/>
              <w:rPr>
                <w:rFonts w:ascii="宋体" w:hAnsi="宋体"/>
                <w:szCs w:val="24"/>
              </w:rPr>
            </w:pPr>
            <w:r>
              <w:rPr>
                <w:rFonts w:hint="eastAsia" w:ascii="宋体" w:hAnsi="宋体"/>
                <w:szCs w:val="24"/>
              </w:rPr>
              <w:t>抽查：健康证，姓名：魏英，有效期：2022.3.31</w:t>
            </w:r>
          </w:p>
          <w:p>
            <w:pPr>
              <w:adjustRightInd w:val="0"/>
              <w:snapToGrid w:val="0"/>
              <w:spacing w:line="520" w:lineRule="exact"/>
              <w:ind w:firstLine="420" w:firstLineChars="200"/>
              <w:rPr>
                <w:rFonts w:ascii="宋体" w:hAnsi="宋体"/>
                <w:szCs w:val="24"/>
              </w:rPr>
            </w:pPr>
            <w:r>
              <w:rPr>
                <w:rFonts w:hint="eastAsia" w:ascii="宋体" w:hAnsi="宋体"/>
                <w:szCs w:val="24"/>
              </w:rPr>
              <w:t>抽查：健康证，姓名：张永秀，有效期：2022.3.31</w:t>
            </w:r>
          </w:p>
          <w:p>
            <w:pPr>
              <w:adjustRightInd w:val="0"/>
              <w:snapToGrid w:val="0"/>
              <w:spacing w:line="520" w:lineRule="exact"/>
              <w:ind w:firstLine="420" w:firstLineChars="200"/>
              <w:rPr>
                <w:rFonts w:ascii="宋体" w:hAnsi="宋体"/>
                <w:szCs w:val="24"/>
              </w:rPr>
            </w:pPr>
            <w:r>
              <w:rPr>
                <w:rFonts w:hint="eastAsia" w:ascii="宋体" w:hAnsi="宋体"/>
                <w:szCs w:val="24"/>
              </w:rPr>
              <w:t>抽查：健康证，姓名：霍花，有效期：2022.3.31</w:t>
            </w:r>
          </w:p>
        </w:tc>
        <w:tc>
          <w:tcPr>
            <w:tcW w:w="438" w:type="dxa"/>
            <w:vAlign w:val="center"/>
          </w:tcPr>
          <w:p>
            <w:pPr>
              <w:jc w:val="center"/>
              <w:rPr>
                <w:rFonts w:ascii="宋体" w:hAnsi="宋体" w:cs="宋体"/>
                <w:sz w:val="24"/>
                <w:szCs w:val="24"/>
              </w:rPr>
            </w:pPr>
            <w:r>
              <w:rPr>
                <w:rFonts w:hint="eastAsia" w:ascii="宋体" w:hAnsi="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ascii="宋体" w:hAnsi="宋体" w:cs="宋体"/>
                <w:sz w:val="24"/>
                <w:szCs w:val="24"/>
              </w:rPr>
            </w:pPr>
            <w:r>
              <w:rPr>
                <w:rFonts w:hint="eastAsia" w:ascii="宋体" w:hAnsi="宋体" w:cs="宋体"/>
                <w:sz w:val="24"/>
                <w:szCs w:val="24"/>
              </w:rPr>
              <w:t>基础设施</w:t>
            </w:r>
          </w:p>
          <w:p>
            <w:pPr>
              <w:rPr>
                <w:rFonts w:ascii="宋体" w:hAnsi="宋体" w:cs="宋体"/>
                <w:sz w:val="24"/>
                <w:szCs w:val="24"/>
              </w:rPr>
            </w:pPr>
          </w:p>
        </w:tc>
        <w:tc>
          <w:tcPr>
            <w:tcW w:w="960" w:type="dxa"/>
          </w:tcPr>
          <w:p>
            <w:pPr>
              <w:rPr>
                <w:rFonts w:ascii="宋体" w:hAnsi="宋体" w:cs="宋体"/>
                <w:sz w:val="24"/>
                <w:szCs w:val="24"/>
              </w:rPr>
            </w:pPr>
            <w:r>
              <w:rPr>
                <w:rFonts w:hint="eastAsia" w:ascii="宋体" w:hAnsi="宋体" w:cs="宋体"/>
                <w:sz w:val="24"/>
                <w:szCs w:val="24"/>
              </w:rPr>
              <w:t>Q7.1.3</w:t>
            </w:r>
          </w:p>
          <w:p>
            <w:pPr>
              <w:rPr>
                <w:rFonts w:ascii="宋体" w:hAnsi="宋体" w:cs="宋体"/>
                <w:sz w:val="24"/>
                <w:szCs w:val="24"/>
              </w:rPr>
            </w:pPr>
          </w:p>
        </w:tc>
        <w:tc>
          <w:tcPr>
            <w:tcW w:w="11151" w:type="dxa"/>
          </w:tcPr>
          <w:p>
            <w:pPr>
              <w:adjustRightInd w:val="0"/>
              <w:snapToGrid w:val="0"/>
              <w:spacing w:line="520" w:lineRule="exact"/>
              <w:ind w:firstLine="420" w:firstLineChars="200"/>
              <w:rPr>
                <w:rFonts w:ascii="宋体" w:hAnsi="宋体"/>
                <w:szCs w:val="24"/>
              </w:rPr>
            </w:pPr>
            <w:r>
              <w:rPr>
                <w:rFonts w:hint="eastAsia" w:ascii="宋体" w:hAnsi="宋体"/>
                <w:szCs w:val="24"/>
              </w:rPr>
              <w:t>■公司的办公地址与注册地址一致，</w:t>
            </w:r>
          </w:p>
          <w:p>
            <w:pPr>
              <w:adjustRightInd w:val="0"/>
              <w:snapToGrid w:val="0"/>
              <w:spacing w:line="520" w:lineRule="exact"/>
              <w:ind w:firstLine="420" w:firstLineChars="200"/>
              <w:rPr>
                <w:rFonts w:ascii="宋体" w:hAnsi="宋体"/>
                <w:szCs w:val="24"/>
              </w:rPr>
            </w:pPr>
            <w:r>
              <w:rPr>
                <w:rFonts w:hint="eastAsia" w:ascii="宋体" w:hAnsi="宋体"/>
                <w:szCs w:val="24"/>
              </w:rPr>
              <w:t>提供了“设备台帐”，配置的主要设备包括：真空锅炉（型号YHZRQ-80N，根据国家质检总局监督检验检疫总局，国质检锅函[2002]288号文件，真空相变锅炉安装后不必由质量技术监督行政部门锅炉压力容器安全监察机构进行确认，也不必办理使用登记注册手续）、健身器材、监控设备、餐厨设备、办公室设备等。</w:t>
            </w:r>
          </w:p>
          <w:p>
            <w:pPr>
              <w:adjustRightInd w:val="0"/>
              <w:snapToGrid w:val="0"/>
              <w:spacing w:line="520" w:lineRule="exact"/>
              <w:ind w:firstLine="420" w:firstLineChars="200"/>
              <w:rPr>
                <w:rFonts w:ascii="宋体" w:hAnsi="宋体"/>
                <w:szCs w:val="24"/>
              </w:rPr>
            </w:pPr>
            <w:r>
              <w:rPr>
                <w:rFonts w:hint="eastAsia" w:ascii="宋体" w:hAnsi="宋体"/>
                <w:szCs w:val="24"/>
              </w:rPr>
              <w:t>现场查看，设备运转正常，设备种类基本满足产品加工要求。</w:t>
            </w:r>
          </w:p>
          <w:p>
            <w:pPr>
              <w:adjustRightInd w:val="0"/>
              <w:snapToGrid w:val="0"/>
              <w:spacing w:line="520" w:lineRule="exact"/>
              <w:ind w:firstLine="420" w:firstLineChars="200"/>
              <w:rPr>
                <w:rFonts w:ascii="宋体" w:hAnsi="宋体"/>
                <w:szCs w:val="24"/>
              </w:rPr>
            </w:pPr>
            <w:r>
              <w:rPr>
                <w:rFonts w:hint="eastAsia" w:ascii="宋体" w:hAnsi="宋体"/>
                <w:szCs w:val="24"/>
              </w:rPr>
              <w:t>根据规定要求，每年对设备运转情况进行记录，并定期对设备进行维护保养。</w:t>
            </w:r>
          </w:p>
          <w:p>
            <w:pPr>
              <w:adjustRightInd w:val="0"/>
              <w:snapToGrid w:val="0"/>
              <w:spacing w:line="520" w:lineRule="exact"/>
              <w:ind w:firstLine="420" w:firstLineChars="200"/>
              <w:rPr>
                <w:rFonts w:ascii="宋体" w:hAnsi="宋体"/>
                <w:szCs w:val="24"/>
              </w:rPr>
            </w:pPr>
            <w:r>
              <w:rPr>
                <w:rFonts w:hint="eastAsia" w:ascii="宋体" w:hAnsi="宋体"/>
                <w:szCs w:val="24"/>
              </w:rPr>
              <w:t>查看“2021年设备检修、维护保养计划”“ 共用设施保养计划”，包括设备名称、检修内容、计划检修时间等内容。</w:t>
            </w:r>
          </w:p>
          <w:p>
            <w:pPr>
              <w:adjustRightInd w:val="0"/>
              <w:snapToGrid w:val="0"/>
              <w:spacing w:line="520" w:lineRule="exact"/>
              <w:ind w:firstLine="420" w:firstLineChars="200"/>
              <w:rPr>
                <w:rFonts w:ascii="宋体" w:hAnsi="宋体"/>
                <w:szCs w:val="24"/>
              </w:rPr>
            </w:pPr>
            <w:r>
              <w:rPr>
                <w:rFonts w:hint="eastAsia" w:ascii="宋体" w:hAnsi="宋体"/>
                <w:szCs w:val="24"/>
              </w:rPr>
              <w:t>保养项目有：健身器材、小区监控等。</w:t>
            </w:r>
          </w:p>
          <w:p>
            <w:pPr>
              <w:adjustRightInd w:val="0"/>
              <w:snapToGrid w:val="0"/>
              <w:spacing w:line="520" w:lineRule="exact"/>
              <w:ind w:firstLine="420" w:firstLineChars="200"/>
              <w:rPr>
                <w:rFonts w:ascii="宋体" w:hAnsi="宋体"/>
                <w:szCs w:val="24"/>
              </w:rPr>
            </w:pPr>
            <w:r>
              <w:rPr>
                <w:rFonts w:hint="eastAsia" w:ascii="宋体" w:hAnsi="宋体"/>
                <w:szCs w:val="24"/>
              </w:rPr>
              <w:t>查维修记录</w:t>
            </w:r>
          </w:p>
          <w:p>
            <w:pPr>
              <w:adjustRightInd w:val="0"/>
              <w:snapToGrid w:val="0"/>
              <w:spacing w:line="520" w:lineRule="exact"/>
              <w:ind w:firstLine="420" w:firstLineChars="200"/>
              <w:rPr>
                <w:rFonts w:ascii="宋体" w:hAnsi="宋体"/>
                <w:szCs w:val="24"/>
              </w:rPr>
            </w:pPr>
            <w:r>
              <w:rPr>
                <w:rFonts w:hint="eastAsia" w:ascii="宋体" w:hAnsi="宋体"/>
                <w:szCs w:val="24"/>
              </w:rPr>
              <w:t>抽2021.6.3维修地点：祁连路327号小区、祁连路333号小区、祁连路912号小区、中庄小区、八一路小区、西站小区，维修项目：维修12台锅炉，维修内容：维修固定，维修结果：合格等，有维修人。</w:t>
            </w:r>
          </w:p>
          <w:p>
            <w:pPr>
              <w:adjustRightInd w:val="0"/>
              <w:snapToGrid w:val="0"/>
              <w:spacing w:line="520" w:lineRule="exact"/>
              <w:ind w:firstLine="420" w:firstLineChars="200"/>
              <w:rPr>
                <w:rFonts w:ascii="宋体" w:hAnsi="宋体"/>
                <w:szCs w:val="24"/>
              </w:rPr>
            </w:pPr>
            <w:r>
              <w:rPr>
                <w:rFonts w:hint="eastAsia" w:ascii="宋体" w:hAnsi="宋体"/>
                <w:szCs w:val="24"/>
              </w:rPr>
              <w:t>抽2021.5.20 维修地点：办公楼，维修项目：检查配置灭火器等，维修内容：配置到位，在有效期，维修结果：合格，有维修人签字。</w:t>
            </w:r>
          </w:p>
          <w:p>
            <w:pPr>
              <w:adjustRightInd w:val="0"/>
              <w:snapToGrid w:val="0"/>
              <w:spacing w:line="520" w:lineRule="exact"/>
              <w:ind w:firstLine="420" w:firstLineChars="200"/>
              <w:rPr>
                <w:rFonts w:ascii="宋体" w:hAnsi="宋体"/>
                <w:szCs w:val="24"/>
              </w:rPr>
            </w:pPr>
            <w:r>
              <w:rPr>
                <w:rFonts w:hint="eastAsia" w:ascii="宋体" w:hAnsi="宋体"/>
                <w:szCs w:val="24"/>
              </w:rPr>
              <w:t>查特种设备:真空锅炉，根据国家质检总局监督检验检疫总局，国质检锅函[2002]288号文件，真空相变锅炉安装后不必由质量技术监督行政部门锅炉压力容器安全监察机构进行确认，也不必办理使用登记注册手续。见附件。</w:t>
            </w:r>
          </w:p>
          <w:p>
            <w:pPr>
              <w:adjustRightInd w:val="0"/>
              <w:snapToGrid w:val="0"/>
              <w:spacing w:line="520" w:lineRule="exact"/>
              <w:ind w:firstLine="420" w:firstLineChars="200"/>
              <w:rPr>
                <w:rFonts w:ascii="宋体" w:hAnsi="宋体"/>
                <w:szCs w:val="24"/>
              </w:rPr>
            </w:pPr>
            <w:r>
              <w:rPr>
                <w:rFonts w:hint="eastAsia" w:ascii="宋体" w:hAnsi="宋体"/>
                <w:szCs w:val="24"/>
              </w:rPr>
              <w:t>计量器具：安全阀、压力表。</w:t>
            </w:r>
          </w:p>
        </w:tc>
        <w:tc>
          <w:tcPr>
            <w:tcW w:w="438" w:type="dxa"/>
            <w:vAlign w:val="center"/>
          </w:tcPr>
          <w:p>
            <w:pPr>
              <w:jc w:val="center"/>
              <w:rPr>
                <w:rFonts w:ascii="宋体" w:hAnsi="宋体" w:cs="宋体"/>
                <w:sz w:val="24"/>
                <w:szCs w:val="24"/>
              </w:rPr>
            </w:pPr>
            <w:r>
              <w:rPr>
                <w:rFonts w:hint="eastAsia" w:ascii="宋体" w:hAnsi="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ascii="宋体" w:hAnsi="宋体" w:cs="宋体"/>
                <w:sz w:val="24"/>
                <w:szCs w:val="24"/>
              </w:rPr>
            </w:pPr>
            <w:r>
              <w:rPr>
                <w:rFonts w:hint="eastAsia" w:ascii="宋体" w:hAnsi="宋体" w:cs="宋体"/>
                <w:sz w:val="24"/>
                <w:szCs w:val="24"/>
              </w:rPr>
              <w:t>过程运行环境</w:t>
            </w:r>
          </w:p>
          <w:p>
            <w:pPr>
              <w:rPr>
                <w:rFonts w:ascii="宋体" w:hAnsi="宋体" w:cs="宋体"/>
                <w:sz w:val="24"/>
                <w:szCs w:val="24"/>
              </w:rPr>
            </w:pPr>
          </w:p>
        </w:tc>
        <w:tc>
          <w:tcPr>
            <w:tcW w:w="960" w:type="dxa"/>
          </w:tcPr>
          <w:p>
            <w:pPr>
              <w:rPr>
                <w:rFonts w:ascii="宋体" w:hAnsi="宋体" w:cs="宋体"/>
                <w:sz w:val="24"/>
                <w:szCs w:val="24"/>
              </w:rPr>
            </w:pPr>
            <w:r>
              <w:rPr>
                <w:rFonts w:hint="eastAsia" w:ascii="宋体" w:hAnsi="宋体" w:cs="宋体"/>
                <w:sz w:val="24"/>
                <w:szCs w:val="24"/>
              </w:rPr>
              <w:t>Q7.1.4</w:t>
            </w:r>
          </w:p>
          <w:p>
            <w:pPr>
              <w:rPr>
                <w:rFonts w:ascii="宋体" w:hAnsi="宋体" w:cs="宋体"/>
                <w:sz w:val="24"/>
                <w:szCs w:val="24"/>
              </w:rPr>
            </w:pPr>
          </w:p>
        </w:tc>
        <w:tc>
          <w:tcPr>
            <w:tcW w:w="11151" w:type="dxa"/>
          </w:tcPr>
          <w:p>
            <w:pPr>
              <w:adjustRightInd w:val="0"/>
              <w:snapToGrid w:val="0"/>
              <w:spacing w:line="520" w:lineRule="exact"/>
              <w:ind w:firstLine="420" w:firstLineChars="200"/>
              <w:rPr>
                <w:rFonts w:ascii="宋体" w:hAnsi="宋体"/>
                <w:szCs w:val="24"/>
              </w:rPr>
            </w:pPr>
            <w:r>
              <w:rPr>
                <w:rFonts w:hint="eastAsia" w:ascii="宋体" w:hAnsi="宋体"/>
                <w:szCs w:val="24"/>
              </w:rPr>
              <w:t>现场巡视</w:t>
            </w:r>
          </w:p>
          <w:p>
            <w:pPr>
              <w:adjustRightInd w:val="0"/>
              <w:snapToGrid w:val="0"/>
              <w:spacing w:line="520" w:lineRule="exact"/>
              <w:ind w:firstLine="420" w:firstLineChars="200"/>
              <w:rPr>
                <w:rFonts w:ascii="宋体" w:hAnsi="宋体"/>
                <w:szCs w:val="24"/>
              </w:rPr>
            </w:pPr>
            <w:r>
              <w:rPr>
                <w:rFonts w:hint="eastAsia" w:ascii="宋体" w:hAnsi="宋体"/>
                <w:szCs w:val="24"/>
              </w:rPr>
              <w:t>1.办公区域总面积约300平方米，能够满足日常经营活动。</w:t>
            </w:r>
          </w:p>
          <w:p>
            <w:pPr>
              <w:adjustRightInd w:val="0"/>
              <w:snapToGrid w:val="0"/>
              <w:spacing w:line="520" w:lineRule="exact"/>
              <w:ind w:firstLine="420" w:firstLineChars="200"/>
              <w:rPr>
                <w:rFonts w:ascii="宋体" w:hAnsi="宋体"/>
                <w:szCs w:val="24"/>
              </w:rPr>
            </w:pPr>
            <w:r>
              <w:rPr>
                <w:rFonts w:hint="eastAsia" w:ascii="宋体" w:hAnsi="宋体"/>
                <w:szCs w:val="24"/>
              </w:rPr>
              <w:t>2.现场查看物业住宅小区、餐饮服务场所管理现场，管理范围区域内环境整洁、管理，；</w:t>
            </w:r>
          </w:p>
        </w:tc>
        <w:tc>
          <w:tcPr>
            <w:tcW w:w="438" w:type="dxa"/>
            <w:vAlign w:val="center"/>
          </w:tcPr>
          <w:p>
            <w:pPr>
              <w:jc w:val="center"/>
              <w:rPr>
                <w:rFonts w:ascii="宋体" w:hAnsi="宋体" w:cs="宋体"/>
                <w:sz w:val="24"/>
                <w:szCs w:val="24"/>
              </w:rPr>
            </w:pPr>
            <w:r>
              <w:rPr>
                <w:rFonts w:hint="eastAsia" w:ascii="宋体" w:hAnsi="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ascii="宋体" w:hAnsi="宋体" w:cs="宋体"/>
                <w:sz w:val="24"/>
                <w:szCs w:val="24"/>
              </w:rPr>
            </w:pPr>
          </w:p>
        </w:tc>
        <w:tc>
          <w:tcPr>
            <w:tcW w:w="960" w:type="dxa"/>
          </w:tcPr>
          <w:p>
            <w:pPr>
              <w:rPr>
                <w:rFonts w:ascii="宋体" w:hAnsi="宋体" w:cs="宋体"/>
                <w:sz w:val="24"/>
                <w:szCs w:val="24"/>
              </w:rPr>
            </w:pPr>
            <w:r>
              <w:rPr>
                <w:rFonts w:hint="eastAsia" w:ascii="宋体" w:hAnsi="宋体" w:cs="宋体"/>
                <w:sz w:val="24"/>
                <w:szCs w:val="24"/>
              </w:rPr>
              <w:t>Q7.1.6</w:t>
            </w:r>
          </w:p>
          <w:p>
            <w:pPr>
              <w:rPr>
                <w:rFonts w:ascii="宋体" w:hAnsi="宋体" w:cs="宋体"/>
                <w:sz w:val="24"/>
                <w:szCs w:val="24"/>
              </w:rPr>
            </w:pPr>
          </w:p>
        </w:tc>
        <w:tc>
          <w:tcPr>
            <w:tcW w:w="11151" w:type="dxa"/>
          </w:tcPr>
          <w:p>
            <w:pPr>
              <w:adjustRightInd w:val="0"/>
              <w:snapToGrid w:val="0"/>
              <w:spacing w:line="520" w:lineRule="exact"/>
              <w:ind w:firstLine="420" w:firstLineChars="200"/>
              <w:rPr>
                <w:rFonts w:ascii="宋体" w:hAnsi="宋体"/>
                <w:szCs w:val="24"/>
              </w:rPr>
            </w:pPr>
            <w:r>
              <w:rPr>
                <w:rFonts w:hint="eastAsia" w:ascii="宋体" w:hAnsi="宋体"/>
                <w:szCs w:val="24"/>
              </w:rPr>
              <w:t>■提供相关资料，主要知识有：政策/法规知识、各部门规章制度、顾客关系和需求知识、市场、竞争对手相关知识、质量管理知识、技术/管理创新知识等，表现形式有：经验总结、发展战略、企业文化手册、先进管理理念、方法应用、工作报告、合理化建议、风险评估等；发展战略、营销战略、专题报告、市场动态等。资料提供；黄蓉。</w:t>
            </w:r>
          </w:p>
        </w:tc>
        <w:tc>
          <w:tcPr>
            <w:tcW w:w="438" w:type="dxa"/>
            <w:vAlign w:val="center"/>
          </w:tcPr>
          <w:p>
            <w:pPr>
              <w:jc w:val="center"/>
              <w:rPr>
                <w:rFonts w:ascii="宋体" w:hAnsi="宋体" w:cs="宋体"/>
                <w:sz w:val="24"/>
                <w:szCs w:val="24"/>
              </w:rPr>
            </w:pPr>
            <w:r>
              <w:rPr>
                <w:rFonts w:hint="eastAsia" w:ascii="宋体" w:hAnsi="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ascii="宋体" w:hAnsi="宋体" w:cs="宋体"/>
                <w:sz w:val="24"/>
                <w:szCs w:val="24"/>
              </w:rPr>
            </w:pPr>
            <w:r>
              <w:rPr>
                <w:rFonts w:hint="eastAsia" w:ascii="宋体" w:hAnsi="宋体" w:cs="宋体"/>
                <w:sz w:val="24"/>
                <w:szCs w:val="24"/>
              </w:rPr>
              <w:t>能力</w:t>
            </w:r>
          </w:p>
          <w:p>
            <w:pPr>
              <w:rPr>
                <w:rFonts w:ascii="宋体" w:hAnsi="宋体" w:cs="宋体"/>
                <w:sz w:val="24"/>
                <w:szCs w:val="24"/>
              </w:rPr>
            </w:pPr>
            <w:r>
              <w:rPr>
                <w:rFonts w:hint="eastAsia" w:ascii="宋体" w:hAnsi="宋体" w:cs="宋体"/>
                <w:sz w:val="24"/>
                <w:szCs w:val="24"/>
              </w:rPr>
              <w:t>意识</w:t>
            </w:r>
          </w:p>
          <w:p>
            <w:pPr>
              <w:rPr>
                <w:rFonts w:ascii="宋体" w:hAnsi="宋体" w:cs="宋体"/>
                <w:sz w:val="24"/>
                <w:szCs w:val="24"/>
              </w:rPr>
            </w:pPr>
            <w:r>
              <w:rPr>
                <w:rFonts w:hint="eastAsia" w:ascii="宋体" w:hAnsi="宋体" w:cs="宋体"/>
                <w:sz w:val="24"/>
                <w:szCs w:val="24"/>
              </w:rPr>
              <w:t>能力、意识和培训</w:t>
            </w:r>
          </w:p>
          <w:p>
            <w:pPr>
              <w:rPr>
                <w:rFonts w:ascii="宋体" w:hAnsi="宋体" w:cs="宋体"/>
                <w:sz w:val="24"/>
                <w:szCs w:val="24"/>
              </w:rPr>
            </w:pPr>
          </w:p>
        </w:tc>
        <w:tc>
          <w:tcPr>
            <w:tcW w:w="960" w:type="dxa"/>
          </w:tcPr>
          <w:p>
            <w:pPr>
              <w:rPr>
                <w:rFonts w:ascii="宋体" w:hAnsi="宋体" w:cs="宋体"/>
                <w:sz w:val="24"/>
                <w:szCs w:val="24"/>
              </w:rPr>
            </w:pPr>
            <w:r>
              <w:rPr>
                <w:rFonts w:hint="eastAsia" w:ascii="宋体" w:hAnsi="宋体" w:cs="宋体"/>
                <w:sz w:val="24"/>
                <w:szCs w:val="24"/>
              </w:rPr>
              <w:t>Q/E7.2</w:t>
            </w:r>
          </w:p>
          <w:p>
            <w:pPr>
              <w:rPr>
                <w:rFonts w:ascii="宋体" w:hAnsi="宋体" w:cs="宋体"/>
                <w:sz w:val="24"/>
                <w:szCs w:val="24"/>
              </w:rPr>
            </w:pPr>
            <w:r>
              <w:rPr>
                <w:rFonts w:hint="eastAsia" w:ascii="宋体" w:hAnsi="宋体" w:cs="宋体"/>
                <w:sz w:val="24"/>
                <w:szCs w:val="24"/>
              </w:rPr>
              <w:t>Q/E 7.3</w:t>
            </w:r>
          </w:p>
          <w:p>
            <w:pPr>
              <w:rPr>
                <w:rFonts w:ascii="宋体" w:hAnsi="宋体" w:cs="宋体"/>
                <w:sz w:val="24"/>
                <w:szCs w:val="24"/>
              </w:rPr>
            </w:pPr>
            <w:r>
              <w:rPr>
                <w:rFonts w:hint="eastAsia" w:ascii="宋体" w:hAnsi="宋体" w:cs="宋体"/>
                <w:sz w:val="24"/>
                <w:szCs w:val="24"/>
              </w:rPr>
              <w:t>S4.4.2</w:t>
            </w:r>
          </w:p>
          <w:p>
            <w:pPr>
              <w:rPr>
                <w:rFonts w:ascii="宋体" w:hAnsi="宋体" w:cs="宋体"/>
                <w:sz w:val="24"/>
                <w:szCs w:val="24"/>
              </w:rPr>
            </w:pPr>
          </w:p>
        </w:tc>
        <w:tc>
          <w:tcPr>
            <w:tcW w:w="11151" w:type="dxa"/>
          </w:tcPr>
          <w:p>
            <w:pPr>
              <w:adjustRightInd w:val="0"/>
              <w:snapToGrid w:val="0"/>
              <w:spacing w:line="520" w:lineRule="exact"/>
              <w:ind w:firstLine="420" w:firstLineChars="200"/>
              <w:rPr>
                <w:rFonts w:ascii="宋体" w:hAnsi="宋体"/>
                <w:szCs w:val="24"/>
              </w:rPr>
            </w:pPr>
            <w:r>
              <w:rPr>
                <w:rFonts w:hint="eastAsia" w:ascii="宋体" w:hAnsi="宋体"/>
                <w:szCs w:val="24"/>
              </w:rPr>
              <w:t>■公司制定【人力资源控制程序】，通过培训和其他措施提高员工的工作能力，增强员工的质量、环境和职业健康安全意识，使员工满足所从事的工作对专业能力和管理能力的要求。相关人员证书详见附件。</w:t>
            </w:r>
          </w:p>
          <w:p>
            <w:pPr>
              <w:adjustRightInd w:val="0"/>
              <w:snapToGrid w:val="0"/>
              <w:spacing w:line="520" w:lineRule="exact"/>
              <w:ind w:firstLine="420" w:firstLineChars="200"/>
              <w:rPr>
                <w:rFonts w:ascii="宋体" w:hAnsi="宋体"/>
                <w:szCs w:val="24"/>
              </w:rPr>
            </w:pPr>
            <w:r>
              <w:rPr>
                <w:rFonts w:hint="eastAsia" w:ascii="宋体" w:hAnsi="宋体"/>
                <w:szCs w:val="24"/>
              </w:rPr>
              <w:t>为确保对公司管理体系绩效和有效性及合规义务有影响的人员所需的能力，公司在《管理手册》规定了岗位任职要求，通过对所需人员教育、培训或经历方面的确认确保人员胜任能力。经查见在册人员相关的证明资料。</w:t>
            </w:r>
          </w:p>
          <w:p>
            <w:pPr>
              <w:adjustRightInd w:val="0"/>
              <w:snapToGrid w:val="0"/>
              <w:spacing w:line="520" w:lineRule="exact"/>
              <w:ind w:firstLine="420" w:firstLineChars="200"/>
              <w:rPr>
                <w:rFonts w:ascii="宋体" w:hAnsi="宋体"/>
                <w:szCs w:val="24"/>
              </w:rPr>
            </w:pPr>
            <w:r>
              <w:rPr>
                <w:rFonts w:hint="eastAsia" w:ascii="宋体" w:hAnsi="宋体"/>
                <w:szCs w:val="24"/>
              </w:rPr>
              <w:t>提供了“2021年度培训计划”，包括三标贯标、应急预案与演练、法律法规、环保安全知识、管理手册、规章制度培训、物业管理法规条例、安保、消防知识培训等内容。</w:t>
            </w:r>
          </w:p>
          <w:p>
            <w:pPr>
              <w:adjustRightInd w:val="0"/>
              <w:snapToGrid w:val="0"/>
              <w:spacing w:line="520" w:lineRule="exact"/>
              <w:ind w:firstLine="420" w:firstLineChars="200"/>
              <w:rPr>
                <w:rFonts w:ascii="宋体" w:hAnsi="宋体"/>
                <w:szCs w:val="24"/>
              </w:rPr>
            </w:pPr>
            <w:r>
              <w:rPr>
                <w:rFonts w:hint="eastAsia" w:ascii="宋体" w:hAnsi="宋体"/>
                <w:szCs w:val="24"/>
              </w:rPr>
              <w:t>编制：黄蓉       审批：付利海        时间：2021年1月</w:t>
            </w:r>
          </w:p>
          <w:p>
            <w:pPr>
              <w:adjustRightInd w:val="0"/>
              <w:snapToGrid w:val="0"/>
              <w:spacing w:line="520" w:lineRule="exact"/>
              <w:ind w:firstLine="420" w:firstLineChars="200"/>
              <w:rPr>
                <w:rFonts w:ascii="宋体" w:hAnsi="宋体"/>
                <w:szCs w:val="24"/>
              </w:rPr>
            </w:pPr>
            <w:r>
              <w:rPr>
                <w:rFonts w:hint="eastAsia" w:ascii="宋体" w:hAnsi="宋体"/>
                <w:szCs w:val="24"/>
              </w:rPr>
              <w:t>出示了“培训实施记录”，培训记录内容包括培训项目、日期、参加培训人员、培训过程描述、培训效果评定等。</w:t>
            </w:r>
          </w:p>
          <w:p>
            <w:pPr>
              <w:adjustRightInd w:val="0"/>
              <w:snapToGrid w:val="0"/>
              <w:spacing w:line="520" w:lineRule="exact"/>
              <w:ind w:firstLine="420" w:firstLineChars="200"/>
              <w:rPr>
                <w:rFonts w:ascii="宋体" w:hAnsi="宋体"/>
                <w:szCs w:val="24"/>
              </w:rPr>
            </w:pPr>
            <w:r>
              <w:rPr>
                <w:rFonts w:hint="eastAsia" w:ascii="宋体" w:hAnsi="宋体"/>
                <w:szCs w:val="24"/>
              </w:rPr>
              <w:t>抽查：</w:t>
            </w:r>
          </w:p>
          <w:p>
            <w:pPr>
              <w:adjustRightInd w:val="0"/>
              <w:snapToGrid w:val="0"/>
              <w:spacing w:line="520" w:lineRule="exact"/>
              <w:ind w:firstLine="420" w:firstLineChars="200"/>
              <w:rPr>
                <w:rFonts w:ascii="宋体" w:hAnsi="宋体"/>
                <w:szCs w:val="24"/>
              </w:rPr>
            </w:pPr>
            <w:r>
              <w:rPr>
                <w:rFonts w:hint="eastAsia" w:ascii="宋体" w:hAnsi="宋体"/>
                <w:szCs w:val="24"/>
              </w:rPr>
              <w:t>1.培训内容：安全知识培训（消防、操作规程） 2021年3月，培训讲师：卫清华。培训人员：全体人员，培训结果：现场提问，符合有效。</w:t>
            </w:r>
          </w:p>
          <w:p>
            <w:pPr>
              <w:adjustRightInd w:val="0"/>
              <w:snapToGrid w:val="0"/>
              <w:spacing w:line="520" w:lineRule="exact"/>
              <w:ind w:firstLine="420" w:firstLineChars="200"/>
              <w:rPr>
                <w:rFonts w:ascii="宋体" w:hAnsi="宋体"/>
                <w:szCs w:val="24"/>
              </w:rPr>
            </w:pPr>
            <w:r>
              <w:rPr>
                <w:rFonts w:hint="eastAsia" w:ascii="宋体" w:hAnsi="宋体"/>
                <w:szCs w:val="24"/>
              </w:rPr>
              <w:t>2.培训内容：物业管理及岗位职责培训 202年5月，培训讲师：付利海。培训人员：公司全体人员，培训结果：现场提问，符合有效。</w:t>
            </w:r>
          </w:p>
          <w:p>
            <w:pPr>
              <w:adjustRightInd w:val="0"/>
              <w:snapToGrid w:val="0"/>
              <w:spacing w:line="520" w:lineRule="exact"/>
              <w:ind w:firstLine="420" w:firstLineChars="200"/>
              <w:rPr>
                <w:rFonts w:ascii="宋体" w:hAnsi="宋体"/>
                <w:szCs w:val="24"/>
              </w:rPr>
            </w:pPr>
            <w:r>
              <w:rPr>
                <w:rFonts w:hint="eastAsia" w:ascii="宋体" w:hAnsi="宋体"/>
                <w:szCs w:val="24"/>
              </w:rPr>
              <w:t>3.培训内容：后勤技能提升培训  2021.4月，培训人员：相关岗位人员，培训讲师：吴玉赐。培训结果：现场提问，符合有效。</w:t>
            </w:r>
          </w:p>
          <w:p>
            <w:pPr>
              <w:adjustRightInd w:val="0"/>
              <w:snapToGrid w:val="0"/>
              <w:spacing w:line="520" w:lineRule="exact"/>
              <w:ind w:firstLine="420" w:firstLineChars="200"/>
              <w:rPr>
                <w:rFonts w:ascii="宋体" w:hAnsi="宋体"/>
                <w:szCs w:val="24"/>
              </w:rPr>
            </w:pPr>
            <w:r>
              <w:rPr>
                <w:rFonts w:hint="eastAsia" w:ascii="宋体" w:hAnsi="宋体"/>
                <w:szCs w:val="24"/>
              </w:rPr>
              <w:t>均有参加培训人员签到，培训内容和培训效果的评价等。</w:t>
            </w:r>
          </w:p>
        </w:tc>
        <w:tc>
          <w:tcPr>
            <w:tcW w:w="438" w:type="dxa"/>
            <w:vAlign w:val="center"/>
          </w:tcPr>
          <w:p>
            <w:pPr>
              <w:jc w:val="center"/>
              <w:rPr>
                <w:rFonts w:ascii="宋体" w:hAnsi="宋体" w:cs="宋体"/>
                <w:sz w:val="24"/>
                <w:szCs w:val="24"/>
              </w:rPr>
            </w:pPr>
            <w:r>
              <w:rPr>
                <w:rFonts w:hint="eastAsia" w:ascii="宋体" w:hAnsi="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ascii="宋体" w:hAnsi="宋体" w:cs="宋体"/>
                <w:sz w:val="24"/>
                <w:szCs w:val="24"/>
              </w:rPr>
            </w:pPr>
            <w:r>
              <w:rPr>
                <w:rFonts w:hint="eastAsia" w:ascii="宋体" w:hAnsi="宋体" w:cs="宋体"/>
                <w:sz w:val="24"/>
                <w:szCs w:val="24"/>
              </w:rPr>
              <w:t>意识</w:t>
            </w:r>
          </w:p>
          <w:p>
            <w:pPr>
              <w:rPr>
                <w:rFonts w:ascii="宋体" w:hAnsi="宋体" w:cs="宋体"/>
                <w:sz w:val="24"/>
                <w:szCs w:val="24"/>
              </w:rPr>
            </w:pPr>
          </w:p>
        </w:tc>
        <w:tc>
          <w:tcPr>
            <w:tcW w:w="960" w:type="dxa"/>
          </w:tcPr>
          <w:p>
            <w:pPr>
              <w:rPr>
                <w:rFonts w:ascii="宋体" w:hAnsi="宋体" w:cs="宋体"/>
                <w:sz w:val="24"/>
                <w:szCs w:val="24"/>
              </w:rPr>
            </w:pPr>
            <w:r>
              <w:rPr>
                <w:rFonts w:hint="eastAsia" w:ascii="宋体" w:hAnsi="宋体" w:cs="宋体"/>
                <w:sz w:val="24"/>
                <w:szCs w:val="24"/>
              </w:rPr>
              <w:t>QEO7.3</w:t>
            </w:r>
          </w:p>
          <w:p>
            <w:pPr>
              <w:rPr>
                <w:rFonts w:ascii="宋体" w:hAnsi="宋体" w:cs="宋体"/>
                <w:sz w:val="24"/>
                <w:szCs w:val="24"/>
              </w:rPr>
            </w:pPr>
          </w:p>
        </w:tc>
        <w:tc>
          <w:tcPr>
            <w:tcW w:w="11151" w:type="dxa"/>
          </w:tcPr>
          <w:p>
            <w:pPr>
              <w:adjustRightInd w:val="0"/>
              <w:snapToGrid w:val="0"/>
              <w:spacing w:line="520" w:lineRule="exact"/>
              <w:ind w:firstLine="420" w:firstLineChars="200"/>
              <w:rPr>
                <w:rFonts w:ascii="宋体" w:hAnsi="宋体"/>
                <w:szCs w:val="24"/>
              </w:rPr>
            </w:pPr>
            <w:r>
              <w:rPr>
                <w:rFonts w:hint="eastAsia" w:ascii="宋体" w:hAnsi="宋体"/>
                <w:szCs w:val="24"/>
              </w:rPr>
              <w:t>■公司通过文件传递、培训等方式，使工作人员获知和理解：</w:t>
            </w:r>
          </w:p>
          <w:p>
            <w:pPr>
              <w:adjustRightInd w:val="0"/>
              <w:snapToGrid w:val="0"/>
              <w:spacing w:line="520" w:lineRule="exact"/>
              <w:ind w:firstLine="420" w:firstLineChars="200"/>
              <w:rPr>
                <w:rFonts w:ascii="宋体" w:hAnsi="宋体"/>
                <w:szCs w:val="24"/>
              </w:rPr>
            </w:pPr>
            <w:r>
              <w:rPr>
                <w:rFonts w:hint="eastAsia" w:ascii="宋体" w:hAnsi="宋体"/>
                <w:szCs w:val="24"/>
              </w:rPr>
              <w:t>1.质量、环境、职业健康安全方针；</w:t>
            </w:r>
          </w:p>
          <w:p>
            <w:pPr>
              <w:adjustRightInd w:val="0"/>
              <w:snapToGrid w:val="0"/>
              <w:spacing w:line="520" w:lineRule="exact"/>
              <w:ind w:firstLine="420" w:firstLineChars="200"/>
              <w:rPr>
                <w:rFonts w:ascii="宋体" w:hAnsi="宋体"/>
                <w:szCs w:val="24"/>
              </w:rPr>
            </w:pPr>
            <w:r>
              <w:rPr>
                <w:rFonts w:hint="eastAsia" w:ascii="宋体" w:hAnsi="宋体"/>
                <w:szCs w:val="24"/>
              </w:rPr>
              <w:t>2.相关的质量、环境、职业健康安全目标；</w:t>
            </w:r>
          </w:p>
          <w:p>
            <w:pPr>
              <w:adjustRightInd w:val="0"/>
              <w:snapToGrid w:val="0"/>
              <w:spacing w:line="520" w:lineRule="exact"/>
              <w:ind w:firstLine="420" w:firstLineChars="200"/>
              <w:rPr>
                <w:rFonts w:ascii="宋体" w:hAnsi="宋体"/>
                <w:szCs w:val="24"/>
              </w:rPr>
            </w:pPr>
            <w:r>
              <w:rPr>
                <w:rFonts w:hint="eastAsia" w:ascii="宋体" w:hAnsi="宋体"/>
                <w:szCs w:val="24"/>
              </w:rPr>
              <w:t>3.对质量、环境、职业健康安全管理体系有效性的贡献，包括改进质量、环境、职业健康安全绩效的益处；</w:t>
            </w:r>
          </w:p>
          <w:p>
            <w:pPr>
              <w:adjustRightInd w:val="0"/>
              <w:snapToGrid w:val="0"/>
              <w:spacing w:line="520" w:lineRule="exact"/>
              <w:ind w:firstLine="420" w:firstLineChars="200"/>
              <w:rPr>
                <w:rFonts w:ascii="宋体" w:hAnsi="宋体"/>
                <w:szCs w:val="24"/>
              </w:rPr>
            </w:pPr>
            <w:r>
              <w:rPr>
                <w:rFonts w:hint="eastAsia" w:ascii="宋体" w:hAnsi="宋体"/>
                <w:szCs w:val="24"/>
              </w:rPr>
              <w:t>4.不符合质量、环境、职业健康安全管理体系要求的后果。</w:t>
            </w:r>
          </w:p>
        </w:tc>
        <w:tc>
          <w:tcPr>
            <w:tcW w:w="438" w:type="dxa"/>
            <w:vAlign w:val="center"/>
          </w:tcPr>
          <w:p>
            <w:pPr>
              <w:jc w:val="center"/>
              <w:rPr>
                <w:rFonts w:ascii="宋体" w:hAnsi="宋体" w:cs="宋体"/>
                <w:sz w:val="24"/>
                <w:szCs w:val="24"/>
              </w:rPr>
            </w:pPr>
            <w:r>
              <w:rPr>
                <w:rFonts w:hint="eastAsia" w:ascii="宋体" w:hAnsi="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ascii="宋体" w:hAnsi="宋体" w:cs="宋体"/>
                <w:sz w:val="24"/>
                <w:szCs w:val="24"/>
              </w:rPr>
            </w:pPr>
            <w:r>
              <w:rPr>
                <w:rFonts w:hint="eastAsia" w:ascii="宋体" w:hAnsi="宋体" w:cs="宋体"/>
                <w:sz w:val="24"/>
                <w:szCs w:val="24"/>
              </w:rPr>
              <w:t>沟通、交流</w:t>
            </w:r>
          </w:p>
          <w:p>
            <w:pPr>
              <w:rPr>
                <w:rFonts w:ascii="宋体" w:hAnsi="宋体" w:cs="宋体"/>
                <w:sz w:val="24"/>
                <w:szCs w:val="24"/>
              </w:rPr>
            </w:pPr>
          </w:p>
        </w:tc>
        <w:tc>
          <w:tcPr>
            <w:tcW w:w="960" w:type="dxa"/>
          </w:tcPr>
          <w:p>
            <w:pPr>
              <w:rPr>
                <w:rFonts w:ascii="宋体" w:hAnsi="宋体" w:cs="宋体"/>
                <w:sz w:val="24"/>
                <w:szCs w:val="24"/>
              </w:rPr>
            </w:pPr>
            <w:r>
              <w:rPr>
                <w:rFonts w:hint="eastAsia" w:ascii="宋体" w:hAnsi="宋体" w:cs="宋体"/>
                <w:sz w:val="24"/>
                <w:szCs w:val="24"/>
              </w:rPr>
              <w:t>QEO7.4</w:t>
            </w:r>
          </w:p>
          <w:p>
            <w:pPr>
              <w:rPr>
                <w:rFonts w:ascii="宋体" w:hAnsi="宋体" w:cs="宋体"/>
                <w:sz w:val="24"/>
                <w:szCs w:val="24"/>
              </w:rPr>
            </w:pPr>
          </w:p>
          <w:p>
            <w:pPr>
              <w:rPr>
                <w:rFonts w:ascii="宋体" w:hAnsi="宋体" w:cs="宋体"/>
                <w:sz w:val="24"/>
                <w:szCs w:val="24"/>
              </w:rPr>
            </w:pPr>
          </w:p>
        </w:tc>
        <w:tc>
          <w:tcPr>
            <w:tcW w:w="11151" w:type="dxa"/>
          </w:tcPr>
          <w:p>
            <w:pPr>
              <w:adjustRightInd w:val="0"/>
              <w:snapToGrid w:val="0"/>
              <w:spacing w:line="520" w:lineRule="exact"/>
              <w:ind w:firstLine="420" w:firstLineChars="200"/>
              <w:rPr>
                <w:rFonts w:ascii="宋体" w:hAnsi="宋体"/>
                <w:szCs w:val="24"/>
              </w:rPr>
            </w:pPr>
            <w:r>
              <w:rPr>
                <w:rFonts w:hint="eastAsia" w:ascii="宋体" w:hAnsi="宋体"/>
                <w:szCs w:val="24"/>
              </w:rPr>
              <w:t>■公司制定【信息交流与沟通控制程序】，确定与质量、环境、职业健康安全管理体系相关的内部和外部沟通内容、方式和时机等。</w:t>
            </w:r>
          </w:p>
          <w:p>
            <w:pPr>
              <w:adjustRightInd w:val="0"/>
              <w:snapToGrid w:val="0"/>
              <w:spacing w:line="520" w:lineRule="exact"/>
              <w:ind w:firstLine="420" w:firstLineChars="200"/>
              <w:rPr>
                <w:rFonts w:ascii="宋体" w:hAnsi="宋体"/>
                <w:szCs w:val="24"/>
              </w:rPr>
            </w:pPr>
            <w:r>
              <w:rPr>
                <w:rFonts w:hint="eastAsia" w:ascii="宋体" w:hAnsi="宋体"/>
                <w:szCs w:val="24"/>
              </w:rPr>
              <w:t>1.行政管理部负责公司办公活动中的质量、环境、安全信息交流工作，负责内、外部信息的接收、传递和处理。</w:t>
            </w:r>
          </w:p>
          <w:p>
            <w:pPr>
              <w:adjustRightInd w:val="0"/>
              <w:snapToGrid w:val="0"/>
              <w:spacing w:line="520" w:lineRule="exact"/>
              <w:ind w:firstLine="420" w:firstLineChars="200"/>
              <w:rPr>
                <w:rFonts w:ascii="宋体" w:hAnsi="宋体"/>
                <w:szCs w:val="24"/>
              </w:rPr>
            </w:pPr>
            <w:r>
              <w:rPr>
                <w:rFonts w:hint="eastAsia" w:ascii="宋体" w:hAnsi="宋体"/>
                <w:szCs w:val="24"/>
              </w:rPr>
              <w:t>2.行政管理部负责业务范围展开实施过程信息交流工作，包括采购的原材料符合国家环保、安全要求、采用环保包装并在运输过程中采取措施减少环境影响、安全影响方面的要求等。</w:t>
            </w:r>
          </w:p>
          <w:p>
            <w:pPr>
              <w:adjustRightInd w:val="0"/>
              <w:snapToGrid w:val="0"/>
              <w:spacing w:line="520" w:lineRule="exact"/>
              <w:ind w:firstLine="420" w:firstLineChars="200"/>
              <w:rPr>
                <w:rFonts w:ascii="宋体" w:hAnsi="宋体"/>
                <w:szCs w:val="24"/>
              </w:rPr>
            </w:pPr>
            <w:r>
              <w:rPr>
                <w:rFonts w:hint="eastAsia" w:ascii="宋体" w:hAnsi="宋体"/>
                <w:szCs w:val="24"/>
              </w:rPr>
              <w:t>3.公司与相关方就提供产品或服务涉及的环境因素和安全影响进行了沟通和交流的方式和内容，以协议、告知等方式进行。</w:t>
            </w:r>
          </w:p>
          <w:p>
            <w:pPr>
              <w:adjustRightInd w:val="0"/>
              <w:snapToGrid w:val="0"/>
              <w:spacing w:line="520" w:lineRule="exact"/>
              <w:ind w:firstLine="420" w:firstLineChars="200"/>
              <w:rPr>
                <w:rFonts w:ascii="宋体" w:hAnsi="宋体"/>
                <w:szCs w:val="24"/>
              </w:rPr>
            </w:pPr>
            <w:r>
              <w:rPr>
                <w:rFonts w:hint="eastAsia" w:ascii="宋体" w:hAnsi="宋体"/>
                <w:szCs w:val="24"/>
              </w:rPr>
              <w:t>4.工作人员以会议记录、工作联系单、电子邮件等形式参与和协商职业健康安全管理体系相关事宜。</w:t>
            </w:r>
          </w:p>
          <w:p>
            <w:pPr>
              <w:adjustRightInd w:val="0"/>
              <w:snapToGrid w:val="0"/>
              <w:spacing w:line="520" w:lineRule="exact"/>
              <w:ind w:firstLine="420" w:firstLineChars="200"/>
              <w:rPr>
                <w:rFonts w:ascii="宋体" w:hAnsi="宋体"/>
                <w:szCs w:val="24"/>
              </w:rPr>
            </w:pPr>
            <w:r>
              <w:rPr>
                <w:rFonts w:hint="eastAsia" w:ascii="宋体" w:hAnsi="宋体"/>
                <w:szCs w:val="24"/>
              </w:rPr>
              <w:t>经全体员工推举，公司管理层讨论后，一致同意选举“寇庭善”为职业健康安全事务代表，代表员工就职业健康安全有关的信息与公司管理者代表和最高管理者保持沟通，参与职业健康安全事务，并对影响员工职业健康安全的任何变更进行协商。</w:t>
            </w:r>
          </w:p>
          <w:p>
            <w:pPr>
              <w:adjustRightInd w:val="0"/>
              <w:snapToGrid w:val="0"/>
              <w:spacing w:line="520" w:lineRule="exact"/>
              <w:ind w:firstLine="420" w:firstLineChars="200"/>
              <w:rPr>
                <w:rFonts w:ascii="宋体" w:hAnsi="宋体"/>
                <w:szCs w:val="24"/>
              </w:rPr>
            </w:pPr>
            <w:r>
              <w:rPr>
                <w:rFonts w:hint="eastAsia" w:ascii="宋体" w:hAnsi="宋体"/>
                <w:szCs w:val="24"/>
              </w:rPr>
              <w:t>公司通过文件发放、通知、培训、例会等方式告知工作人员如何参与职业健康安全事务及相关安排、告知职业健康安全事务代表的人选。</w:t>
            </w:r>
          </w:p>
        </w:tc>
        <w:tc>
          <w:tcPr>
            <w:tcW w:w="438" w:type="dxa"/>
            <w:vAlign w:val="center"/>
          </w:tcPr>
          <w:p>
            <w:pPr>
              <w:jc w:val="center"/>
              <w:rPr>
                <w:rFonts w:ascii="宋体" w:hAnsi="宋体" w:cs="宋体"/>
                <w:sz w:val="24"/>
                <w:szCs w:val="24"/>
              </w:rPr>
            </w:pPr>
            <w:r>
              <w:rPr>
                <w:rFonts w:hint="eastAsia" w:ascii="宋体" w:hAnsi="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ascii="宋体" w:hAnsi="宋体" w:cs="宋体"/>
                <w:sz w:val="24"/>
                <w:szCs w:val="24"/>
              </w:rPr>
            </w:pPr>
            <w:r>
              <w:rPr>
                <w:rFonts w:hint="eastAsia" w:ascii="宋体" w:hAnsi="宋体" w:cs="宋体"/>
                <w:sz w:val="24"/>
                <w:szCs w:val="24"/>
              </w:rPr>
              <w:t>形成文件的信息</w:t>
            </w:r>
          </w:p>
          <w:p>
            <w:pPr>
              <w:rPr>
                <w:rFonts w:ascii="宋体" w:hAnsi="宋体" w:cs="宋体"/>
                <w:sz w:val="24"/>
                <w:szCs w:val="24"/>
              </w:rPr>
            </w:pPr>
            <w:r>
              <w:rPr>
                <w:rFonts w:hint="eastAsia" w:ascii="宋体" w:hAnsi="宋体" w:cs="宋体"/>
                <w:sz w:val="24"/>
                <w:szCs w:val="24"/>
              </w:rPr>
              <w:t>文件化信息</w:t>
            </w:r>
          </w:p>
          <w:p>
            <w:pPr>
              <w:rPr>
                <w:rFonts w:ascii="宋体" w:hAnsi="宋体" w:cs="宋体"/>
                <w:sz w:val="24"/>
                <w:szCs w:val="24"/>
              </w:rPr>
            </w:pPr>
          </w:p>
        </w:tc>
        <w:tc>
          <w:tcPr>
            <w:tcW w:w="960" w:type="dxa"/>
          </w:tcPr>
          <w:p>
            <w:pPr>
              <w:rPr>
                <w:rFonts w:ascii="宋体" w:hAnsi="宋体" w:cs="宋体"/>
                <w:sz w:val="24"/>
                <w:szCs w:val="24"/>
              </w:rPr>
            </w:pPr>
            <w:r>
              <w:rPr>
                <w:rFonts w:hint="eastAsia" w:ascii="宋体" w:hAnsi="宋体" w:cs="宋体"/>
                <w:sz w:val="24"/>
                <w:szCs w:val="24"/>
              </w:rPr>
              <w:t>QEO7.5</w:t>
            </w:r>
          </w:p>
          <w:p>
            <w:pPr>
              <w:rPr>
                <w:rFonts w:ascii="宋体" w:hAnsi="宋体" w:cs="宋体"/>
                <w:sz w:val="24"/>
                <w:szCs w:val="24"/>
              </w:rPr>
            </w:pPr>
          </w:p>
        </w:tc>
        <w:tc>
          <w:tcPr>
            <w:tcW w:w="11151" w:type="dxa"/>
          </w:tcPr>
          <w:p>
            <w:pPr>
              <w:adjustRightInd w:val="0"/>
              <w:snapToGrid w:val="0"/>
              <w:spacing w:line="520" w:lineRule="exact"/>
              <w:ind w:firstLine="420" w:firstLineChars="200"/>
              <w:rPr>
                <w:rFonts w:ascii="宋体" w:hAnsi="宋体"/>
                <w:szCs w:val="24"/>
              </w:rPr>
            </w:pPr>
            <w:r>
              <w:rPr>
                <w:rFonts w:hint="eastAsia" w:ascii="宋体" w:hAnsi="宋体"/>
                <w:szCs w:val="24"/>
              </w:rPr>
              <w:t>■公司的管理手册及相关体系文件系统的描述了公司整个管理体系，内容包括：管理体系覆盖的服务、过程、部门和场所等。描述了体系中各个过程的相互作用关系。公司对整个体系进行了策划。形成了文件化的管理手册、程序文件31个、三级管理文件以及所要求的记录。</w:t>
            </w:r>
          </w:p>
          <w:p>
            <w:pPr>
              <w:adjustRightInd w:val="0"/>
              <w:snapToGrid w:val="0"/>
              <w:spacing w:line="520" w:lineRule="exact"/>
              <w:ind w:firstLine="420" w:firstLineChars="200"/>
              <w:rPr>
                <w:rFonts w:ascii="宋体" w:hAnsi="宋体"/>
                <w:szCs w:val="24"/>
              </w:rPr>
            </w:pPr>
            <w:r>
              <w:rPr>
                <w:rFonts w:hint="eastAsia" w:ascii="宋体" w:hAnsi="宋体"/>
                <w:szCs w:val="24"/>
              </w:rPr>
              <w:t>公司编制的程序文件符合标准要求的所有程序文件，第三层次文件对体系及其相互关系在手册中做了描述，记录表单满足公司目前的质量体系运行的需要。</w:t>
            </w:r>
          </w:p>
          <w:p>
            <w:pPr>
              <w:adjustRightInd w:val="0"/>
              <w:snapToGrid w:val="0"/>
              <w:spacing w:line="520" w:lineRule="exact"/>
              <w:ind w:firstLine="420" w:firstLineChars="200"/>
              <w:rPr>
                <w:rFonts w:ascii="宋体" w:hAnsi="宋体"/>
                <w:szCs w:val="24"/>
              </w:rPr>
            </w:pPr>
            <w:r>
              <w:rPr>
                <w:rFonts w:hint="eastAsia" w:ascii="宋体" w:hAnsi="宋体"/>
                <w:szCs w:val="24"/>
              </w:rPr>
              <w:t>公司文件分类：一级文件：管理手册。</w:t>
            </w:r>
          </w:p>
          <w:p>
            <w:pPr>
              <w:adjustRightInd w:val="0"/>
              <w:snapToGrid w:val="0"/>
              <w:spacing w:line="520" w:lineRule="exact"/>
              <w:ind w:firstLine="420" w:firstLineChars="200"/>
              <w:rPr>
                <w:rFonts w:ascii="宋体" w:hAnsi="宋体"/>
                <w:szCs w:val="24"/>
              </w:rPr>
            </w:pPr>
            <w:r>
              <w:rPr>
                <w:rFonts w:hint="eastAsia" w:ascii="宋体" w:hAnsi="宋体"/>
                <w:szCs w:val="24"/>
              </w:rPr>
              <w:t>二级文件：公司编制了31个程序文件，包括质量、环境、职业健康安全标准要求的所有程序。</w:t>
            </w:r>
          </w:p>
          <w:p>
            <w:pPr>
              <w:adjustRightInd w:val="0"/>
              <w:snapToGrid w:val="0"/>
              <w:spacing w:line="520" w:lineRule="exact"/>
              <w:ind w:firstLine="420" w:firstLineChars="200"/>
              <w:rPr>
                <w:rFonts w:ascii="宋体" w:hAnsi="宋体"/>
                <w:szCs w:val="24"/>
              </w:rPr>
            </w:pPr>
            <w:r>
              <w:rPr>
                <w:rFonts w:hint="eastAsia" w:ascii="宋体" w:hAnsi="宋体"/>
                <w:szCs w:val="24"/>
              </w:rPr>
              <w:t>三层次文件：制度和作业指导书，外来文件：包括产品国家标准，环境、职业健康安全，记录，满足公司目前的体系运行的需要。体系文件基本能保证有效性和效率的要求。</w:t>
            </w:r>
          </w:p>
          <w:p>
            <w:pPr>
              <w:adjustRightInd w:val="0"/>
              <w:snapToGrid w:val="0"/>
              <w:spacing w:line="520" w:lineRule="exact"/>
              <w:ind w:firstLine="420" w:firstLineChars="200"/>
              <w:rPr>
                <w:rFonts w:ascii="宋体" w:hAnsi="宋体"/>
                <w:szCs w:val="24"/>
              </w:rPr>
            </w:pPr>
            <w:r>
              <w:rPr>
                <w:rFonts w:hint="eastAsia" w:ascii="宋体" w:hAnsi="宋体"/>
                <w:szCs w:val="24"/>
              </w:rPr>
              <w:t>查公司按照文审要求对管理手册进行了修改，符合要求。</w:t>
            </w:r>
          </w:p>
          <w:p>
            <w:pPr>
              <w:adjustRightInd w:val="0"/>
              <w:snapToGrid w:val="0"/>
              <w:spacing w:line="520" w:lineRule="exact"/>
              <w:ind w:firstLine="420" w:firstLineChars="200"/>
              <w:rPr>
                <w:rFonts w:ascii="宋体" w:hAnsi="宋体"/>
                <w:szCs w:val="24"/>
              </w:rPr>
            </w:pPr>
            <w:r>
              <w:rPr>
                <w:rFonts w:hint="eastAsia" w:ascii="宋体" w:hAnsi="宋体"/>
                <w:szCs w:val="24"/>
              </w:rPr>
              <w:t>公司编制并实施了《文件管理程序》，文件包括：手册、三体系的程序文件、保洁作业质量检查考核标准、安全生产责任书、废弃物管理规程、安全教育管理制度等。</w:t>
            </w:r>
          </w:p>
          <w:p>
            <w:pPr>
              <w:adjustRightInd w:val="0"/>
              <w:snapToGrid w:val="0"/>
              <w:spacing w:line="520" w:lineRule="exact"/>
              <w:ind w:firstLine="420" w:firstLineChars="200"/>
              <w:rPr>
                <w:rFonts w:ascii="宋体" w:hAnsi="宋体"/>
                <w:szCs w:val="24"/>
              </w:rPr>
            </w:pPr>
            <w:r>
              <w:rPr>
                <w:rFonts w:hint="eastAsia" w:ascii="宋体" w:hAnsi="宋体"/>
                <w:szCs w:val="24"/>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中华人民共和国合同法》、《中华人民共和国消费者权益保护法》、《中华人民共和国产品质量法》、《中华人民共和国环境保护法》、《中华人民共和国安全生产法》、《中华人民共和国治安管理法》、《中华人民共和国消防法》、《物业管理及餐饮服务条例》、《青海省物业管理及餐饮服务办法》、《青海省城市市容卫生管理条例》、《青海省物业管理及餐饮服务办法》、《机关、团体、企业、事业单位消防安全管理规定》、GB/T13869-2008《用电安全导则》、DB32/T538-2002《青海省住宅物业管理及餐饮服务服务标准》</w:t>
            </w:r>
            <w:r>
              <w:fldChar w:fldCharType="begin"/>
            </w:r>
            <w:r>
              <w:instrText xml:space="preserve"> HYPERLINK "http://www.so.com/link?m=aCnZJKp+7A+ePtjI0eR0NFgWRn4tDVGN5jCl5jKFWJtbKn+zVPJ9xNndk2h11wGJYMnY6OH5q5hyHyQRlCJ5O5XQEnfrQRXRLyHvLHq9Nef94j3u43or54UTa/vTC3KJXX8XIXgjjbHI6+tMoIeWJNmsDEDqnCIYwA5aDT8Cy2VHcL9kGTYUq1xL+zmloMXnbiJDPVvfViPs17tq7tYq/mw==" \t "https://www.so.com/_blank" </w:instrText>
            </w:r>
            <w:r>
              <w:fldChar w:fldCharType="separate"/>
            </w:r>
            <w:r>
              <w:rPr>
                <w:rFonts w:hint="eastAsia" w:ascii="宋体" w:hAnsi="宋体"/>
                <w:szCs w:val="24"/>
              </w:rPr>
              <w:t>《物业管理及餐饮服务服务质量规范》</w:t>
            </w:r>
            <w:r>
              <w:rPr>
                <w:rFonts w:hint="eastAsia" w:ascii="宋体" w:hAnsi="宋体"/>
                <w:szCs w:val="24"/>
              </w:rPr>
              <w:fldChar w:fldCharType="end"/>
            </w:r>
            <w:r>
              <w:rPr>
                <w:rFonts w:hint="eastAsia" w:ascii="宋体" w:hAnsi="宋体"/>
                <w:szCs w:val="24"/>
              </w:rPr>
              <w:t>等。</w:t>
            </w:r>
          </w:p>
          <w:p>
            <w:pPr>
              <w:adjustRightInd w:val="0"/>
              <w:snapToGrid w:val="0"/>
              <w:spacing w:line="520" w:lineRule="exact"/>
              <w:ind w:firstLine="420" w:firstLineChars="200"/>
              <w:rPr>
                <w:rFonts w:ascii="宋体" w:hAnsi="宋体"/>
                <w:szCs w:val="24"/>
              </w:rPr>
            </w:pPr>
            <w:r>
              <w:rPr>
                <w:rFonts w:hint="eastAsia" w:ascii="宋体" w:hAnsi="宋体"/>
                <w:szCs w:val="24"/>
              </w:rPr>
              <w:t>查文件发放下发了质量、环境、职业健康安全管理手册、程序文件、工作手册等文件。</w:t>
            </w:r>
          </w:p>
          <w:p>
            <w:pPr>
              <w:adjustRightInd w:val="0"/>
              <w:snapToGrid w:val="0"/>
              <w:spacing w:line="520" w:lineRule="exact"/>
              <w:ind w:firstLine="420" w:firstLineChars="200"/>
              <w:rPr>
                <w:rFonts w:ascii="宋体" w:hAnsi="宋体"/>
                <w:szCs w:val="24"/>
              </w:rPr>
            </w:pPr>
            <w:r>
              <w:rPr>
                <w:rFonts w:hint="eastAsia" w:ascii="宋体" w:hAnsi="宋体"/>
                <w:szCs w:val="24"/>
              </w:rPr>
              <w:t>查行政管理部文件有标识，检索方便，文件夹存放于文件柜内，防护符合要求。</w:t>
            </w:r>
          </w:p>
          <w:p>
            <w:pPr>
              <w:adjustRightInd w:val="0"/>
              <w:snapToGrid w:val="0"/>
              <w:spacing w:line="520" w:lineRule="exact"/>
              <w:ind w:firstLine="420" w:firstLineChars="200"/>
              <w:rPr>
                <w:rFonts w:ascii="宋体" w:hAnsi="宋体"/>
                <w:szCs w:val="24"/>
              </w:rPr>
            </w:pPr>
            <w:r>
              <w:rPr>
                <w:rFonts w:hint="eastAsia" w:ascii="宋体" w:hAnsi="宋体"/>
                <w:szCs w:val="24"/>
              </w:rPr>
              <w:t>公司编制并实施了《记录管理程序》对管理体系记录的标识、贮存、保护、检索、保存期限和处置等作了明确规定，符合要求。</w:t>
            </w:r>
          </w:p>
          <w:p>
            <w:pPr>
              <w:adjustRightInd w:val="0"/>
              <w:snapToGrid w:val="0"/>
              <w:spacing w:line="520" w:lineRule="exact"/>
              <w:ind w:firstLine="420" w:firstLineChars="200"/>
              <w:rPr>
                <w:rFonts w:ascii="宋体" w:hAnsi="宋体"/>
                <w:szCs w:val="24"/>
              </w:rPr>
            </w:pPr>
            <w:r>
              <w:rPr>
                <w:rFonts w:hint="eastAsia" w:ascii="宋体" w:hAnsi="宋体"/>
                <w:szCs w:val="24"/>
              </w:rPr>
              <w:t>公司提供《记录清单》—有内审报告、检查表、危险源清单、环境因素清单、管理评审报告等记录。明确了记录名称、编号、使用保存部门、保存期限等，并经审核后使用。</w:t>
            </w:r>
          </w:p>
          <w:p>
            <w:pPr>
              <w:adjustRightInd w:val="0"/>
              <w:snapToGrid w:val="0"/>
              <w:spacing w:line="520" w:lineRule="exact"/>
              <w:ind w:firstLine="420" w:firstLineChars="200"/>
              <w:rPr>
                <w:rFonts w:ascii="宋体" w:hAnsi="宋体"/>
                <w:szCs w:val="24"/>
              </w:rPr>
            </w:pPr>
            <w:r>
              <w:rPr>
                <w:rFonts w:hint="eastAsia" w:ascii="宋体" w:hAnsi="宋体"/>
                <w:szCs w:val="24"/>
              </w:rPr>
              <w:t>公司各种记录由各使用部门保存，查阅行政管理部保存的记录环境情况，归档文件、记录存放于通风、干燥、防蛀的配置文件柜内，环境干燥、通风，符合文件归档的要求。</w:t>
            </w:r>
          </w:p>
          <w:p>
            <w:pPr>
              <w:adjustRightInd w:val="0"/>
              <w:snapToGrid w:val="0"/>
              <w:spacing w:line="520" w:lineRule="exact"/>
              <w:ind w:firstLine="420" w:firstLineChars="200"/>
              <w:rPr>
                <w:rFonts w:ascii="宋体" w:hAnsi="宋体"/>
                <w:szCs w:val="24"/>
              </w:rPr>
            </w:pPr>
            <w:r>
              <w:rPr>
                <w:rFonts w:hint="eastAsia" w:ascii="宋体" w:hAnsi="宋体"/>
                <w:szCs w:val="24"/>
              </w:rPr>
              <w:t>抽查归档文件整理情况，行政管理部已将文件进行了分类，按记录的名称、编号及时间装文件袋进行归档，记录清洁，字迹清晰，检索方便，抽查有内部审核资料、管理评审资料等，均已装订成册。</w:t>
            </w:r>
          </w:p>
          <w:p>
            <w:pPr>
              <w:adjustRightInd w:val="0"/>
              <w:snapToGrid w:val="0"/>
              <w:spacing w:line="520" w:lineRule="exact"/>
              <w:ind w:firstLine="420" w:firstLineChars="200"/>
              <w:rPr>
                <w:rFonts w:ascii="宋体" w:hAnsi="宋体"/>
                <w:szCs w:val="24"/>
              </w:rPr>
            </w:pPr>
            <w:r>
              <w:rPr>
                <w:rFonts w:hint="eastAsia" w:ascii="宋体" w:hAnsi="宋体"/>
                <w:szCs w:val="24"/>
              </w:rPr>
              <w:t>阅见《记录清单》显示/有105种。其中包含了标准要求的记录，基本满足公司体系运行所需记录要求。保存期一般为3年。</w:t>
            </w:r>
          </w:p>
          <w:p>
            <w:pPr>
              <w:adjustRightInd w:val="0"/>
              <w:snapToGrid w:val="0"/>
              <w:spacing w:line="520" w:lineRule="exact"/>
              <w:ind w:firstLine="420" w:firstLineChars="200"/>
              <w:rPr>
                <w:rFonts w:ascii="宋体" w:hAnsi="宋体"/>
                <w:szCs w:val="24"/>
              </w:rPr>
            </w:pPr>
            <w:r>
              <w:rPr>
                <w:rFonts w:hint="eastAsia" w:ascii="宋体" w:hAnsi="宋体"/>
                <w:szCs w:val="24"/>
              </w:rPr>
              <w:t>抽查：《合同评审记录》保存期/3年；《内部检查表》保存期/ 3年；《管理评审报告》保存期/3年。</w:t>
            </w:r>
          </w:p>
          <w:p>
            <w:pPr>
              <w:adjustRightInd w:val="0"/>
              <w:snapToGrid w:val="0"/>
              <w:spacing w:line="520" w:lineRule="exact"/>
              <w:ind w:firstLine="420" w:firstLineChars="200"/>
              <w:rPr>
                <w:rFonts w:ascii="宋体" w:hAnsi="宋体"/>
                <w:szCs w:val="24"/>
              </w:rPr>
            </w:pPr>
            <w:r>
              <w:rPr>
                <w:rFonts w:hint="eastAsia" w:ascii="宋体" w:hAnsi="宋体"/>
                <w:szCs w:val="24"/>
              </w:rPr>
              <w:t>符合记录标识及保存期规定要求。</w:t>
            </w:r>
          </w:p>
          <w:p>
            <w:pPr>
              <w:adjustRightInd w:val="0"/>
              <w:snapToGrid w:val="0"/>
              <w:spacing w:line="520" w:lineRule="exact"/>
              <w:ind w:firstLine="420" w:firstLineChars="200"/>
              <w:rPr>
                <w:rFonts w:ascii="宋体" w:hAnsi="宋体"/>
                <w:szCs w:val="24"/>
              </w:rPr>
            </w:pPr>
            <w:r>
              <w:rPr>
                <w:rFonts w:hint="eastAsia" w:ascii="宋体" w:hAnsi="宋体"/>
                <w:szCs w:val="24"/>
              </w:rPr>
              <w:t>由专人管理，在专用文件柜内储存，按不同种类，记录的时间存放，便于检索。</w:t>
            </w:r>
          </w:p>
          <w:p>
            <w:pPr>
              <w:adjustRightInd w:val="0"/>
              <w:snapToGrid w:val="0"/>
              <w:spacing w:line="520" w:lineRule="exact"/>
              <w:ind w:firstLine="420" w:firstLineChars="200"/>
              <w:rPr>
                <w:rFonts w:ascii="宋体" w:hAnsi="宋体"/>
                <w:szCs w:val="24"/>
              </w:rPr>
            </w:pPr>
            <w:r>
              <w:rPr>
                <w:rFonts w:hint="eastAsia" w:ascii="宋体" w:hAnsi="宋体"/>
                <w:szCs w:val="24"/>
              </w:rPr>
              <w:t>现场查阅/《管理评审报告》、《内审检查表》/记录清晰易于识别。对超过保存期的记录由行政管理部填写〈申请单〉批准后统一销毁。现在暂时还没有销毁记录。</w:t>
            </w:r>
          </w:p>
          <w:p>
            <w:pPr>
              <w:adjustRightInd w:val="0"/>
              <w:snapToGrid w:val="0"/>
              <w:spacing w:line="520" w:lineRule="exact"/>
              <w:ind w:firstLine="420" w:firstLineChars="200"/>
              <w:rPr>
                <w:rFonts w:ascii="宋体" w:hAnsi="宋体"/>
                <w:szCs w:val="24"/>
              </w:rPr>
            </w:pPr>
            <w:r>
              <w:rPr>
                <w:rFonts w:hint="eastAsia" w:ascii="宋体" w:hAnsi="宋体"/>
                <w:szCs w:val="24"/>
              </w:rPr>
              <w:t>暂无作废记录</w:t>
            </w:r>
          </w:p>
        </w:tc>
        <w:tc>
          <w:tcPr>
            <w:tcW w:w="438" w:type="dxa"/>
            <w:vAlign w:val="center"/>
          </w:tcPr>
          <w:p>
            <w:pPr>
              <w:jc w:val="center"/>
              <w:rPr>
                <w:rFonts w:ascii="宋体" w:hAnsi="宋体" w:cs="宋体"/>
                <w:sz w:val="24"/>
                <w:szCs w:val="24"/>
              </w:rPr>
            </w:pPr>
            <w:r>
              <w:rPr>
                <w:rFonts w:hint="eastAsia" w:ascii="宋体" w:hAnsi="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ascii="宋体" w:hAnsi="宋体" w:cs="宋体"/>
                <w:sz w:val="24"/>
                <w:szCs w:val="24"/>
              </w:rPr>
            </w:pPr>
            <w:r>
              <w:rPr>
                <w:rFonts w:hint="eastAsia" w:ascii="宋体" w:hAnsi="宋体" w:cs="宋体"/>
                <w:sz w:val="24"/>
                <w:szCs w:val="24"/>
              </w:rPr>
              <w:t>分析和评价</w:t>
            </w:r>
          </w:p>
          <w:p>
            <w:pPr>
              <w:rPr>
                <w:rFonts w:ascii="宋体" w:hAnsi="宋体" w:cs="宋体"/>
                <w:sz w:val="24"/>
                <w:szCs w:val="24"/>
              </w:rPr>
            </w:pPr>
          </w:p>
        </w:tc>
        <w:tc>
          <w:tcPr>
            <w:tcW w:w="960" w:type="dxa"/>
          </w:tcPr>
          <w:p>
            <w:pPr>
              <w:rPr>
                <w:rFonts w:ascii="宋体" w:hAnsi="宋体" w:cs="宋体"/>
                <w:sz w:val="24"/>
                <w:szCs w:val="24"/>
              </w:rPr>
            </w:pPr>
            <w:r>
              <w:rPr>
                <w:rFonts w:hint="eastAsia" w:ascii="宋体" w:hAnsi="宋体" w:cs="宋体"/>
                <w:sz w:val="24"/>
                <w:szCs w:val="24"/>
              </w:rPr>
              <w:t>Q9.1.3</w:t>
            </w:r>
          </w:p>
          <w:p>
            <w:pPr>
              <w:rPr>
                <w:rFonts w:ascii="宋体" w:hAnsi="宋体" w:cs="宋体"/>
                <w:sz w:val="24"/>
                <w:szCs w:val="24"/>
              </w:rPr>
            </w:pPr>
          </w:p>
        </w:tc>
        <w:tc>
          <w:tcPr>
            <w:tcW w:w="11151" w:type="dxa"/>
          </w:tcPr>
          <w:p>
            <w:pPr>
              <w:adjustRightInd w:val="0"/>
              <w:snapToGrid w:val="0"/>
              <w:spacing w:line="520" w:lineRule="exact"/>
              <w:ind w:firstLine="420" w:firstLineChars="200"/>
              <w:rPr>
                <w:rFonts w:ascii="宋体" w:hAnsi="宋体"/>
                <w:szCs w:val="24"/>
              </w:rPr>
            </w:pPr>
            <w:r>
              <w:rPr>
                <w:rFonts w:hint="eastAsia" w:ascii="宋体" w:hAnsi="宋体"/>
                <w:szCs w:val="24"/>
              </w:rPr>
              <w:t>■公司制定【数据分析控制程序】，收集和分析适当的数据，评价公司管理体系的适宜性和有效性，充分识别可以改进的机会。</w:t>
            </w:r>
          </w:p>
          <w:p>
            <w:pPr>
              <w:adjustRightInd w:val="0"/>
              <w:snapToGrid w:val="0"/>
              <w:spacing w:line="520" w:lineRule="exact"/>
              <w:ind w:firstLine="420" w:firstLineChars="200"/>
              <w:rPr>
                <w:rFonts w:ascii="宋体" w:hAnsi="宋体"/>
                <w:szCs w:val="24"/>
              </w:rPr>
            </w:pPr>
            <w:r>
              <w:rPr>
                <w:rFonts w:hint="eastAsia" w:ascii="宋体" w:hAnsi="宋体"/>
                <w:szCs w:val="24"/>
              </w:rPr>
              <w:t>提供了行政管理部质量、环境、职业健康目标考核结果，包括年度培训计划执行率、</w:t>
            </w:r>
          </w:p>
          <w:p>
            <w:pPr>
              <w:adjustRightInd w:val="0"/>
              <w:snapToGrid w:val="0"/>
              <w:spacing w:line="520" w:lineRule="exact"/>
              <w:ind w:firstLine="420" w:firstLineChars="200"/>
              <w:rPr>
                <w:rFonts w:ascii="宋体" w:hAnsi="宋体"/>
                <w:szCs w:val="24"/>
              </w:rPr>
            </w:pPr>
            <w:r>
              <w:rPr>
                <w:rFonts w:hint="eastAsia" w:ascii="宋体" w:hAnsi="宋体"/>
                <w:szCs w:val="24"/>
              </w:rPr>
              <w:t>人员岗位绩效考核合格率、确保持证上岗率达到、固体废弃物分类处置率、保证环境、职业健康改善所需资金、危险源整改率达等，均达到目标。</w:t>
            </w:r>
          </w:p>
        </w:tc>
        <w:tc>
          <w:tcPr>
            <w:tcW w:w="438" w:type="dxa"/>
            <w:vAlign w:val="center"/>
          </w:tcPr>
          <w:p>
            <w:pPr>
              <w:jc w:val="center"/>
              <w:rPr>
                <w:rFonts w:ascii="宋体" w:hAnsi="宋体" w:cs="宋体"/>
                <w:sz w:val="24"/>
                <w:szCs w:val="24"/>
              </w:rPr>
            </w:pPr>
            <w:r>
              <w:rPr>
                <w:rFonts w:hint="eastAsia" w:ascii="宋体" w:hAnsi="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ascii="宋体" w:hAnsi="宋体" w:cs="宋体"/>
                <w:sz w:val="24"/>
                <w:szCs w:val="24"/>
              </w:rPr>
            </w:pPr>
            <w:r>
              <w:rPr>
                <w:rFonts w:hint="eastAsia" w:ascii="宋体" w:hAnsi="宋体" w:cs="宋体"/>
                <w:sz w:val="24"/>
                <w:szCs w:val="24"/>
              </w:rPr>
              <w:t>内部审核</w:t>
            </w:r>
          </w:p>
          <w:p>
            <w:pPr>
              <w:rPr>
                <w:rFonts w:ascii="宋体" w:hAnsi="宋体" w:cs="宋体"/>
                <w:sz w:val="24"/>
                <w:szCs w:val="24"/>
              </w:rPr>
            </w:pPr>
          </w:p>
        </w:tc>
        <w:tc>
          <w:tcPr>
            <w:tcW w:w="960" w:type="dxa"/>
          </w:tcPr>
          <w:p>
            <w:pPr>
              <w:rPr>
                <w:rFonts w:ascii="宋体" w:hAnsi="宋体" w:cs="宋体"/>
                <w:sz w:val="24"/>
                <w:szCs w:val="24"/>
              </w:rPr>
            </w:pPr>
            <w:r>
              <w:rPr>
                <w:rFonts w:hint="eastAsia" w:ascii="宋体" w:hAnsi="宋体" w:cs="宋体"/>
                <w:sz w:val="24"/>
                <w:szCs w:val="24"/>
              </w:rPr>
              <w:t>QEO9.2</w:t>
            </w:r>
          </w:p>
          <w:p>
            <w:pPr>
              <w:rPr>
                <w:rFonts w:ascii="宋体" w:hAnsi="宋体" w:cs="宋体"/>
                <w:sz w:val="24"/>
                <w:szCs w:val="24"/>
              </w:rPr>
            </w:pPr>
          </w:p>
        </w:tc>
        <w:tc>
          <w:tcPr>
            <w:tcW w:w="11151" w:type="dxa"/>
          </w:tcPr>
          <w:p>
            <w:pPr>
              <w:adjustRightInd w:val="0"/>
              <w:snapToGrid w:val="0"/>
              <w:spacing w:line="520" w:lineRule="exact"/>
              <w:ind w:firstLine="420" w:firstLineChars="200"/>
              <w:rPr>
                <w:rFonts w:ascii="宋体" w:hAnsi="宋体"/>
                <w:szCs w:val="24"/>
              </w:rPr>
            </w:pPr>
            <w:r>
              <w:rPr>
                <w:rFonts w:hint="eastAsia" w:ascii="宋体" w:hAnsi="宋体"/>
                <w:szCs w:val="24"/>
              </w:rPr>
              <w:t>■公司制定【内部审核控制程序】，检查公司管理体系的实施效果，发现存在的问题，确定管理体系实施的有效性。及时采取纠正措施，使公司的管理体系持续有效运行。</w:t>
            </w:r>
          </w:p>
          <w:p>
            <w:pPr>
              <w:adjustRightInd w:val="0"/>
              <w:snapToGrid w:val="0"/>
              <w:spacing w:line="520" w:lineRule="exact"/>
              <w:ind w:firstLine="420" w:firstLineChars="200"/>
              <w:rPr>
                <w:rFonts w:ascii="宋体" w:hAnsi="宋体"/>
                <w:szCs w:val="24"/>
              </w:rPr>
            </w:pPr>
            <w:r>
              <w:rPr>
                <w:rFonts w:hint="eastAsia" w:ascii="宋体" w:hAnsi="宋体"/>
                <w:szCs w:val="24"/>
              </w:rPr>
              <w:t>其中对内部审核方案策划规定：</w:t>
            </w:r>
          </w:p>
          <w:p>
            <w:pPr>
              <w:adjustRightInd w:val="0"/>
              <w:snapToGrid w:val="0"/>
              <w:spacing w:line="520" w:lineRule="exact"/>
              <w:ind w:firstLine="420" w:firstLineChars="200"/>
              <w:rPr>
                <w:rFonts w:ascii="宋体" w:hAnsi="宋体"/>
                <w:szCs w:val="24"/>
              </w:rPr>
            </w:pPr>
            <w:r>
              <w:rPr>
                <w:rFonts w:hint="eastAsia" w:ascii="宋体" w:hAnsi="宋体"/>
                <w:szCs w:val="24"/>
              </w:rPr>
              <w:t>1.频次：内审每年进行一次，两次内部审核的时间间隔不超过12个月。</w:t>
            </w:r>
          </w:p>
          <w:p>
            <w:pPr>
              <w:adjustRightInd w:val="0"/>
              <w:snapToGrid w:val="0"/>
              <w:spacing w:line="520" w:lineRule="exact"/>
              <w:ind w:firstLine="420" w:firstLineChars="200"/>
              <w:rPr>
                <w:rFonts w:ascii="宋体" w:hAnsi="宋体"/>
                <w:szCs w:val="24"/>
              </w:rPr>
            </w:pPr>
            <w:r>
              <w:rPr>
                <w:rFonts w:hint="eastAsia" w:ascii="宋体" w:hAnsi="宋体"/>
                <w:szCs w:val="24"/>
              </w:rPr>
              <w:t>2.方法：按部门/过程审核。</w:t>
            </w:r>
          </w:p>
          <w:p>
            <w:pPr>
              <w:adjustRightInd w:val="0"/>
              <w:snapToGrid w:val="0"/>
              <w:spacing w:line="520" w:lineRule="exact"/>
              <w:ind w:firstLine="420" w:firstLineChars="200"/>
              <w:rPr>
                <w:rFonts w:ascii="宋体" w:hAnsi="宋体"/>
                <w:szCs w:val="24"/>
              </w:rPr>
            </w:pPr>
            <w:r>
              <w:rPr>
                <w:rFonts w:hint="eastAsia" w:ascii="宋体" w:hAnsi="宋体"/>
                <w:szCs w:val="24"/>
              </w:rPr>
              <w:t>3.职责：管理者代表通过公司综合部领导和组织内部审核活动。</w:t>
            </w:r>
          </w:p>
          <w:p>
            <w:pPr>
              <w:adjustRightInd w:val="0"/>
              <w:snapToGrid w:val="0"/>
              <w:spacing w:line="520" w:lineRule="exact"/>
              <w:ind w:firstLine="420" w:firstLineChars="200"/>
              <w:rPr>
                <w:rFonts w:ascii="宋体" w:hAnsi="宋体"/>
                <w:szCs w:val="24"/>
              </w:rPr>
            </w:pPr>
            <w:r>
              <w:rPr>
                <w:rFonts w:hint="eastAsia" w:ascii="宋体" w:hAnsi="宋体"/>
                <w:szCs w:val="24"/>
              </w:rPr>
              <w:t>4.策划要求：范围、准则、工作分配等。</w:t>
            </w:r>
          </w:p>
          <w:p>
            <w:pPr>
              <w:adjustRightInd w:val="0"/>
              <w:snapToGrid w:val="0"/>
              <w:spacing w:line="520" w:lineRule="exact"/>
              <w:ind w:firstLine="420" w:firstLineChars="200"/>
              <w:rPr>
                <w:rFonts w:ascii="宋体" w:hAnsi="宋体"/>
                <w:szCs w:val="24"/>
              </w:rPr>
            </w:pPr>
            <w:r>
              <w:rPr>
                <w:rFonts w:hint="eastAsia" w:ascii="宋体" w:hAnsi="宋体"/>
                <w:szCs w:val="24"/>
              </w:rPr>
              <w:t>5.报告：管理者代表在内部审核结束及纠正措施完成后应向总经理报告审核结果</w:t>
            </w:r>
          </w:p>
          <w:p>
            <w:pPr>
              <w:adjustRightInd w:val="0"/>
              <w:snapToGrid w:val="0"/>
              <w:spacing w:line="520" w:lineRule="exact"/>
              <w:ind w:firstLine="420" w:firstLineChars="200"/>
              <w:rPr>
                <w:rFonts w:ascii="宋体" w:hAnsi="宋体"/>
                <w:szCs w:val="24"/>
              </w:rPr>
            </w:pPr>
            <w:r>
              <w:rPr>
                <w:rFonts w:hint="eastAsia" w:ascii="宋体" w:hAnsi="宋体"/>
                <w:szCs w:val="24"/>
              </w:rPr>
              <w:t>审核方案策划的输出为年度审核计划，未提供，已交流。</w:t>
            </w:r>
          </w:p>
          <w:p>
            <w:pPr>
              <w:adjustRightInd w:val="0"/>
              <w:snapToGrid w:val="0"/>
              <w:spacing w:line="520" w:lineRule="exact"/>
              <w:ind w:firstLine="420" w:firstLineChars="200"/>
              <w:rPr>
                <w:rFonts w:ascii="宋体" w:hAnsi="宋体"/>
                <w:szCs w:val="24"/>
              </w:rPr>
            </w:pPr>
            <w:r>
              <w:rPr>
                <w:rFonts w:hint="eastAsia" w:ascii="宋体" w:hAnsi="宋体"/>
                <w:szCs w:val="24"/>
              </w:rPr>
              <w:t>查阅2021年内部审核计划</w:t>
            </w:r>
          </w:p>
          <w:p>
            <w:pPr>
              <w:adjustRightInd w:val="0"/>
              <w:snapToGrid w:val="0"/>
              <w:spacing w:line="520" w:lineRule="exact"/>
              <w:ind w:firstLine="420" w:firstLineChars="200"/>
              <w:rPr>
                <w:rFonts w:ascii="宋体" w:hAnsi="宋体"/>
                <w:szCs w:val="24"/>
              </w:rPr>
            </w:pPr>
            <w:r>
              <w:rPr>
                <w:rFonts w:hint="eastAsia" w:ascii="宋体" w:hAnsi="宋体"/>
                <w:szCs w:val="24"/>
              </w:rPr>
              <w:t>1.内审员任命书，被任命人：组长：付利海  组员：黄蓉、吴玉赐、田宁</w:t>
            </w:r>
          </w:p>
          <w:p>
            <w:pPr>
              <w:adjustRightInd w:val="0"/>
              <w:snapToGrid w:val="0"/>
              <w:spacing w:line="520" w:lineRule="exact"/>
              <w:ind w:firstLine="420" w:firstLineChars="200"/>
              <w:rPr>
                <w:rFonts w:ascii="宋体" w:hAnsi="宋体"/>
                <w:szCs w:val="24"/>
              </w:rPr>
            </w:pPr>
            <w:r>
              <w:rPr>
                <w:rFonts w:hint="eastAsia" w:ascii="宋体" w:hAnsi="宋体"/>
                <w:szCs w:val="24"/>
              </w:rPr>
              <w:t>2.内审计划/通知：审核日期：2021.7.24-25审核范围：总经理、管理者代表、行政管理部、运营管理部、住宅业务部、各项目部等</w:t>
            </w:r>
          </w:p>
          <w:p>
            <w:pPr>
              <w:adjustRightInd w:val="0"/>
              <w:snapToGrid w:val="0"/>
              <w:spacing w:line="520" w:lineRule="exact"/>
              <w:ind w:firstLine="420" w:firstLineChars="200"/>
              <w:rPr>
                <w:rFonts w:ascii="宋体" w:hAnsi="宋体"/>
                <w:szCs w:val="24"/>
              </w:rPr>
            </w:pPr>
            <w:r>
              <w:rPr>
                <w:rFonts w:hint="eastAsia" w:ascii="宋体" w:hAnsi="宋体"/>
                <w:szCs w:val="24"/>
              </w:rPr>
              <w:t>审核准则：■ISO9001-2015标准■ISO14001-2015标准■</w:t>
            </w:r>
            <w:r>
              <w:rPr>
                <w:rFonts w:hint="eastAsia" w:ascii="宋体" w:hAnsi="宋体"/>
                <w:szCs w:val="24"/>
                <w:lang w:val="de-DE"/>
              </w:rPr>
              <w:t>ISO 45001：2018</w:t>
            </w:r>
            <w:r>
              <w:rPr>
                <w:rFonts w:hint="eastAsia" w:ascii="宋体" w:hAnsi="宋体"/>
                <w:szCs w:val="24"/>
              </w:rPr>
              <w:t>■公司管理体系文件■适用的法律法规、产品标准</w:t>
            </w:r>
          </w:p>
          <w:p>
            <w:pPr>
              <w:adjustRightInd w:val="0"/>
              <w:snapToGrid w:val="0"/>
              <w:spacing w:line="520" w:lineRule="exact"/>
              <w:ind w:firstLine="420" w:firstLineChars="200"/>
              <w:rPr>
                <w:rFonts w:ascii="宋体" w:hAnsi="宋体"/>
                <w:szCs w:val="24"/>
              </w:rPr>
            </w:pPr>
            <w:r>
              <w:rPr>
                <w:rFonts w:hint="eastAsia" w:ascii="宋体" w:hAnsi="宋体"/>
                <w:szCs w:val="24"/>
              </w:rPr>
              <w:t>编制: 黄蓉  审核：付利海 批准: 谢林兴2020.7.24</w:t>
            </w:r>
          </w:p>
          <w:p>
            <w:pPr>
              <w:adjustRightInd w:val="0"/>
              <w:snapToGrid w:val="0"/>
              <w:spacing w:line="520" w:lineRule="exact"/>
              <w:ind w:firstLine="420" w:firstLineChars="200"/>
              <w:rPr>
                <w:rFonts w:ascii="宋体" w:hAnsi="宋体"/>
                <w:szCs w:val="24"/>
              </w:rPr>
            </w:pPr>
            <w:r>
              <w:rPr>
                <w:rFonts w:hint="eastAsia" w:ascii="宋体" w:hAnsi="宋体"/>
                <w:szCs w:val="24"/>
              </w:rPr>
              <w:t>3.有内审会议签到表</w:t>
            </w:r>
          </w:p>
          <w:p>
            <w:pPr>
              <w:adjustRightInd w:val="0"/>
              <w:snapToGrid w:val="0"/>
              <w:spacing w:line="520" w:lineRule="exact"/>
              <w:ind w:firstLine="420" w:firstLineChars="200"/>
              <w:rPr>
                <w:rFonts w:ascii="宋体" w:hAnsi="宋体"/>
                <w:szCs w:val="24"/>
              </w:rPr>
            </w:pPr>
            <w:r>
              <w:rPr>
                <w:rFonts w:hint="eastAsia" w:ascii="宋体" w:hAnsi="宋体"/>
                <w:szCs w:val="24"/>
              </w:rPr>
              <w:t>4.内审检查表</w:t>
            </w:r>
          </w:p>
          <w:p>
            <w:pPr>
              <w:adjustRightInd w:val="0"/>
              <w:snapToGrid w:val="0"/>
              <w:spacing w:line="520" w:lineRule="exact"/>
              <w:ind w:firstLine="420" w:firstLineChars="200"/>
              <w:rPr>
                <w:rFonts w:ascii="宋体" w:hAnsi="宋体"/>
                <w:szCs w:val="24"/>
              </w:rPr>
            </w:pPr>
            <w:r>
              <w:rPr>
                <w:rFonts w:hint="eastAsia" w:ascii="宋体" w:hAnsi="宋体"/>
                <w:szCs w:val="24"/>
              </w:rPr>
              <w:t>经查阅对照，受审核部门涉及条款与公司管理体系职责分配相一致。</w:t>
            </w:r>
          </w:p>
          <w:p>
            <w:pPr>
              <w:adjustRightInd w:val="0"/>
              <w:snapToGrid w:val="0"/>
              <w:spacing w:line="520" w:lineRule="exact"/>
              <w:ind w:firstLine="420" w:firstLineChars="200"/>
              <w:rPr>
                <w:rFonts w:ascii="宋体" w:hAnsi="宋体"/>
                <w:szCs w:val="24"/>
              </w:rPr>
            </w:pPr>
            <w:r>
              <w:rPr>
                <w:rFonts w:hint="eastAsia" w:ascii="宋体" w:hAnsi="宋体"/>
                <w:szCs w:val="24"/>
              </w:rPr>
              <w:t>5.内审不合格报告</w:t>
            </w:r>
          </w:p>
          <w:p>
            <w:pPr>
              <w:adjustRightInd w:val="0"/>
              <w:snapToGrid w:val="0"/>
              <w:spacing w:line="520" w:lineRule="exact"/>
              <w:ind w:firstLine="420" w:firstLineChars="200"/>
              <w:rPr>
                <w:rFonts w:ascii="宋体" w:hAnsi="宋体"/>
                <w:szCs w:val="24"/>
              </w:rPr>
            </w:pPr>
            <w:r>
              <w:rPr>
                <w:rFonts w:hint="eastAsia" w:ascii="宋体" w:hAnsi="宋体"/>
                <w:szCs w:val="24"/>
              </w:rPr>
              <w:t>查阅内审发现1项不符合，不符合条款：不符合ISO9001:2015标准8.2条款，已在规定期限内整改关闭。</w:t>
            </w:r>
          </w:p>
          <w:p>
            <w:pPr>
              <w:adjustRightInd w:val="0"/>
              <w:snapToGrid w:val="0"/>
              <w:spacing w:line="520" w:lineRule="exact"/>
              <w:ind w:firstLine="420" w:firstLineChars="200"/>
              <w:rPr>
                <w:rFonts w:ascii="宋体" w:hAnsi="宋体"/>
                <w:szCs w:val="24"/>
              </w:rPr>
            </w:pPr>
            <w:r>
              <w:rPr>
                <w:rFonts w:hint="eastAsia" w:ascii="宋体" w:hAnsi="宋体"/>
                <w:szCs w:val="24"/>
              </w:rPr>
              <w:t>6.内审报告</w:t>
            </w:r>
          </w:p>
          <w:p>
            <w:pPr>
              <w:adjustRightInd w:val="0"/>
              <w:snapToGrid w:val="0"/>
              <w:spacing w:line="520" w:lineRule="exact"/>
              <w:ind w:firstLine="420" w:firstLineChars="200"/>
              <w:rPr>
                <w:rFonts w:ascii="宋体" w:hAnsi="宋体"/>
                <w:szCs w:val="24"/>
              </w:rPr>
            </w:pPr>
            <w:r>
              <w:rPr>
                <w:rFonts w:hint="eastAsia" w:ascii="宋体" w:hAnsi="宋体"/>
                <w:szCs w:val="24"/>
              </w:rPr>
              <w:t>报告中包括审核目的、审核范围、审核依据等内容，对审核过程进行了综述，对公司管理体系的符合性进行了评价，针对不足部门提出了建议改进。</w:t>
            </w:r>
          </w:p>
          <w:p>
            <w:pPr>
              <w:adjustRightInd w:val="0"/>
              <w:snapToGrid w:val="0"/>
              <w:spacing w:line="520" w:lineRule="exact"/>
              <w:ind w:firstLine="420" w:firstLineChars="200"/>
              <w:rPr>
                <w:rFonts w:ascii="宋体" w:hAnsi="宋体"/>
                <w:szCs w:val="24"/>
              </w:rPr>
            </w:pPr>
            <w:r>
              <w:rPr>
                <w:rFonts w:hint="eastAsia" w:ascii="宋体" w:hAnsi="宋体"/>
                <w:szCs w:val="24"/>
              </w:rPr>
              <w:t>审核结论：公司质量、环境和职业健康安全管理体系在此次内部审核范围内，基本符合ISO9001-2015标准、ISO14001-2015标准ISO45001-2018标准并能得到基本有效的实施，已初步具有防止不符合、满足顾客、相关方要求与法律法规要求的能力，初步具有持续改进的机制。公司质量、环境和职业健康安全管理体运行基本上是有效的。</w:t>
            </w:r>
          </w:p>
          <w:p>
            <w:pPr>
              <w:adjustRightInd w:val="0"/>
              <w:snapToGrid w:val="0"/>
              <w:spacing w:line="520" w:lineRule="exact"/>
              <w:ind w:firstLine="420" w:firstLineChars="200"/>
              <w:rPr>
                <w:rFonts w:ascii="宋体" w:hAnsi="宋体"/>
                <w:szCs w:val="24"/>
              </w:rPr>
            </w:pPr>
            <w:r>
              <w:rPr>
                <w:rFonts w:hint="eastAsia" w:ascii="宋体" w:hAnsi="宋体"/>
                <w:szCs w:val="24"/>
              </w:rPr>
              <w:t>编制: 黄蓉  审核：付利海 批准: 谢林兴   2021年7月25日</w:t>
            </w:r>
          </w:p>
        </w:tc>
        <w:tc>
          <w:tcPr>
            <w:tcW w:w="438" w:type="dxa"/>
            <w:vAlign w:val="center"/>
          </w:tcPr>
          <w:p>
            <w:pPr>
              <w:jc w:val="center"/>
              <w:rPr>
                <w:rFonts w:ascii="宋体" w:hAnsi="宋体" w:cs="宋体"/>
                <w:sz w:val="24"/>
                <w:szCs w:val="24"/>
              </w:rPr>
            </w:pPr>
            <w:r>
              <w:rPr>
                <w:rFonts w:hint="eastAsia" w:ascii="宋体" w:hAnsi="宋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ascii="宋体" w:hAnsi="宋体" w:cs="宋体"/>
                <w:sz w:val="24"/>
                <w:szCs w:val="24"/>
              </w:rPr>
            </w:pPr>
            <w:r>
              <w:rPr>
                <w:rFonts w:hint="eastAsia" w:ascii="宋体" w:hAnsi="宋体" w:cs="宋体"/>
                <w:sz w:val="24"/>
                <w:szCs w:val="24"/>
              </w:rPr>
              <w:t>不合格和纠正措施</w:t>
            </w:r>
          </w:p>
          <w:p>
            <w:pPr>
              <w:rPr>
                <w:rFonts w:ascii="宋体" w:hAnsi="宋体" w:cs="宋体"/>
                <w:sz w:val="24"/>
                <w:szCs w:val="24"/>
              </w:rPr>
            </w:pPr>
          </w:p>
        </w:tc>
        <w:tc>
          <w:tcPr>
            <w:tcW w:w="960" w:type="dxa"/>
          </w:tcPr>
          <w:p>
            <w:pPr>
              <w:rPr>
                <w:rFonts w:ascii="宋体" w:hAnsi="宋体" w:cs="宋体"/>
                <w:sz w:val="24"/>
                <w:szCs w:val="24"/>
              </w:rPr>
            </w:pPr>
            <w:r>
              <w:rPr>
                <w:rFonts w:hint="eastAsia" w:ascii="宋体" w:hAnsi="宋体" w:cs="宋体"/>
                <w:sz w:val="24"/>
                <w:szCs w:val="24"/>
              </w:rPr>
              <w:t>QEO</w:t>
            </w:r>
          </w:p>
          <w:p>
            <w:pPr>
              <w:rPr>
                <w:rFonts w:ascii="宋体" w:hAnsi="宋体" w:cs="宋体"/>
                <w:sz w:val="24"/>
                <w:szCs w:val="24"/>
              </w:rPr>
            </w:pPr>
            <w:r>
              <w:rPr>
                <w:rFonts w:hint="eastAsia" w:ascii="宋体" w:hAnsi="宋体" w:cs="宋体"/>
                <w:sz w:val="24"/>
                <w:szCs w:val="24"/>
              </w:rPr>
              <w:t>10.2</w:t>
            </w:r>
          </w:p>
          <w:p>
            <w:pPr>
              <w:rPr>
                <w:rFonts w:ascii="宋体" w:hAnsi="宋体" w:cs="宋体"/>
                <w:sz w:val="24"/>
                <w:szCs w:val="24"/>
              </w:rPr>
            </w:pPr>
          </w:p>
        </w:tc>
        <w:tc>
          <w:tcPr>
            <w:tcW w:w="11151" w:type="dxa"/>
          </w:tcPr>
          <w:p>
            <w:pPr>
              <w:adjustRightInd w:val="0"/>
              <w:snapToGrid w:val="0"/>
              <w:spacing w:line="520" w:lineRule="exact"/>
              <w:ind w:firstLine="420" w:firstLineChars="200"/>
              <w:rPr>
                <w:rFonts w:ascii="宋体" w:hAnsi="宋体"/>
                <w:szCs w:val="24"/>
              </w:rPr>
            </w:pPr>
            <w:r>
              <w:rPr>
                <w:rFonts w:hint="eastAsia" w:ascii="宋体" w:hAnsi="宋体"/>
                <w:szCs w:val="24"/>
              </w:rPr>
              <w:t>公司制定【纠正措施控制程序】，通过分析实际存在的或潜在的不符合的原因，制定纠正和预防措施，并验证其效果，以防止不符合的发生／再发生，实现持续改进绩效的目的。</w:t>
            </w:r>
          </w:p>
          <w:p>
            <w:pPr>
              <w:adjustRightInd w:val="0"/>
              <w:snapToGrid w:val="0"/>
              <w:spacing w:line="520" w:lineRule="exact"/>
              <w:ind w:firstLine="420" w:firstLineChars="200"/>
              <w:rPr>
                <w:rFonts w:ascii="宋体" w:hAnsi="宋体"/>
                <w:szCs w:val="24"/>
              </w:rPr>
            </w:pPr>
            <w:r>
              <w:rPr>
                <w:rFonts w:hint="eastAsia" w:ascii="宋体" w:hAnsi="宋体"/>
                <w:szCs w:val="24"/>
              </w:rPr>
              <w:t>通过询问、现场观察和查阅记录等运行证据，未发现体系运行过程中未发生需要采取纠正或预防措施的情况，未获得公司采取纠正措施的证据。</w:t>
            </w:r>
          </w:p>
        </w:tc>
        <w:tc>
          <w:tcPr>
            <w:tcW w:w="438" w:type="dxa"/>
            <w:vAlign w:val="center"/>
          </w:tcPr>
          <w:p>
            <w:pPr>
              <w:jc w:val="center"/>
              <w:rPr>
                <w:rFonts w:ascii="宋体" w:hAnsi="宋体" w:cs="宋体"/>
                <w:sz w:val="24"/>
                <w:szCs w:val="24"/>
              </w:rPr>
            </w:pPr>
            <w:r>
              <w:rPr>
                <w:rFonts w:hint="eastAsia" w:ascii="宋体" w:hAnsi="宋体" w:cs="宋体"/>
                <w:sz w:val="24"/>
                <w:szCs w:val="24"/>
              </w:rPr>
              <w:t>y</w:t>
            </w:r>
          </w:p>
        </w:tc>
      </w:tr>
    </w:tbl>
    <w:p>
      <w:r>
        <w:rPr>
          <w:rFonts w:hint="eastAsia"/>
        </w:rPr>
        <w:t xml:space="preserve">说明：不符合标注N </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-1</w:t>
                </w:r>
                <w:r>
                  <w:rPr>
                    <w:sz w:val="18"/>
                    <w:szCs w:val="18"/>
                  </w:rPr>
                  <w:t>2</w:t>
                </w:r>
                <w:r>
                  <w:rPr>
                    <w:rFonts w:hint="eastAsia"/>
                    <w:sz w:val="18"/>
                    <w:szCs w:val="18"/>
                  </w:rPr>
                  <w:t>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62E46"/>
    <w:rsid w:val="000D1F94"/>
    <w:rsid w:val="001A2D7F"/>
    <w:rsid w:val="00254F1B"/>
    <w:rsid w:val="002E44DC"/>
    <w:rsid w:val="00314786"/>
    <w:rsid w:val="00337922"/>
    <w:rsid w:val="00340867"/>
    <w:rsid w:val="00380837"/>
    <w:rsid w:val="003A198A"/>
    <w:rsid w:val="003D21D1"/>
    <w:rsid w:val="00410914"/>
    <w:rsid w:val="00412066"/>
    <w:rsid w:val="004A760C"/>
    <w:rsid w:val="00536930"/>
    <w:rsid w:val="00564E53"/>
    <w:rsid w:val="00600C20"/>
    <w:rsid w:val="00644FE2"/>
    <w:rsid w:val="0067640C"/>
    <w:rsid w:val="006E678B"/>
    <w:rsid w:val="00715D1C"/>
    <w:rsid w:val="007403F6"/>
    <w:rsid w:val="007757F3"/>
    <w:rsid w:val="007E6AEB"/>
    <w:rsid w:val="008973EE"/>
    <w:rsid w:val="008F6150"/>
    <w:rsid w:val="00942BCD"/>
    <w:rsid w:val="00971600"/>
    <w:rsid w:val="009973B4"/>
    <w:rsid w:val="009C28C1"/>
    <w:rsid w:val="009F7EED"/>
    <w:rsid w:val="00A07A32"/>
    <w:rsid w:val="00A21789"/>
    <w:rsid w:val="00A80636"/>
    <w:rsid w:val="00AF0AAB"/>
    <w:rsid w:val="00B94387"/>
    <w:rsid w:val="00BF597E"/>
    <w:rsid w:val="00C15326"/>
    <w:rsid w:val="00C51A36"/>
    <w:rsid w:val="00C55228"/>
    <w:rsid w:val="00C67C9D"/>
    <w:rsid w:val="00CA2F93"/>
    <w:rsid w:val="00CE315A"/>
    <w:rsid w:val="00D06F59"/>
    <w:rsid w:val="00D8388C"/>
    <w:rsid w:val="00DF66FD"/>
    <w:rsid w:val="00E3449D"/>
    <w:rsid w:val="00E6224C"/>
    <w:rsid w:val="00EB0164"/>
    <w:rsid w:val="00ED0F62"/>
    <w:rsid w:val="00EE47B7"/>
    <w:rsid w:val="00F413A3"/>
    <w:rsid w:val="00F57BCF"/>
    <w:rsid w:val="00FB5B63"/>
    <w:rsid w:val="02623EB1"/>
    <w:rsid w:val="03A7052F"/>
    <w:rsid w:val="04132571"/>
    <w:rsid w:val="051C4EE6"/>
    <w:rsid w:val="07B125B6"/>
    <w:rsid w:val="0A0A551B"/>
    <w:rsid w:val="0B6F3A60"/>
    <w:rsid w:val="0E561874"/>
    <w:rsid w:val="108219C2"/>
    <w:rsid w:val="11617D33"/>
    <w:rsid w:val="12F66E7B"/>
    <w:rsid w:val="16760941"/>
    <w:rsid w:val="19346DC4"/>
    <w:rsid w:val="1D6728A4"/>
    <w:rsid w:val="1D83663A"/>
    <w:rsid w:val="1D9C6180"/>
    <w:rsid w:val="1DE15851"/>
    <w:rsid w:val="1EC433D5"/>
    <w:rsid w:val="205B6C67"/>
    <w:rsid w:val="220A6FCA"/>
    <w:rsid w:val="22494EB5"/>
    <w:rsid w:val="2278044C"/>
    <w:rsid w:val="27B82592"/>
    <w:rsid w:val="294C521E"/>
    <w:rsid w:val="2C9F19FC"/>
    <w:rsid w:val="2E9D1981"/>
    <w:rsid w:val="2EE134F6"/>
    <w:rsid w:val="32005D76"/>
    <w:rsid w:val="34CD7914"/>
    <w:rsid w:val="395D60A4"/>
    <w:rsid w:val="39FA602B"/>
    <w:rsid w:val="3A6E35FA"/>
    <w:rsid w:val="3BB23C34"/>
    <w:rsid w:val="3C1470CC"/>
    <w:rsid w:val="3E0E7B38"/>
    <w:rsid w:val="3E5407C7"/>
    <w:rsid w:val="3F051AEE"/>
    <w:rsid w:val="3FB06E07"/>
    <w:rsid w:val="404E75CC"/>
    <w:rsid w:val="40855AE8"/>
    <w:rsid w:val="436C6A1A"/>
    <w:rsid w:val="4409775E"/>
    <w:rsid w:val="44545F25"/>
    <w:rsid w:val="45AC2DE2"/>
    <w:rsid w:val="47414E6C"/>
    <w:rsid w:val="4814390A"/>
    <w:rsid w:val="49682E9E"/>
    <w:rsid w:val="4B3427A7"/>
    <w:rsid w:val="4EC64EBF"/>
    <w:rsid w:val="4ECA17B1"/>
    <w:rsid w:val="4FA257D9"/>
    <w:rsid w:val="4FD71FAF"/>
    <w:rsid w:val="53BB4F60"/>
    <w:rsid w:val="56752835"/>
    <w:rsid w:val="582D1C63"/>
    <w:rsid w:val="59233AD7"/>
    <w:rsid w:val="5C166B08"/>
    <w:rsid w:val="5CBA4E0F"/>
    <w:rsid w:val="5D827838"/>
    <w:rsid w:val="5E0A2B44"/>
    <w:rsid w:val="5EA12B9A"/>
    <w:rsid w:val="631C7ED7"/>
    <w:rsid w:val="64123111"/>
    <w:rsid w:val="6BD902EE"/>
    <w:rsid w:val="6C7D0945"/>
    <w:rsid w:val="6F086C08"/>
    <w:rsid w:val="72B11F19"/>
    <w:rsid w:val="734F6161"/>
    <w:rsid w:val="73C026E9"/>
    <w:rsid w:val="77F87882"/>
    <w:rsid w:val="78F2506A"/>
    <w:rsid w:val="7A94353C"/>
    <w:rsid w:val="7F4245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1190</Words>
  <Characters>6783</Characters>
  <Lines>56</Lines>
  <Paragraphs>15</Paragraphs>
  <TotalTime>64</TotalTime>
  <ScaleCrop>false</ScaleCrop>
  <LinksUpToDate>false</LinksUpToDate>
  <CharactersWithSpaces>7958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2021-08-21T02:08:15Z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6FC4A868643C4B678F4DE27E9A1698D8</vt:lpwstr>
  </property>
</Properties>
</file>