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0423-2019-EO-2021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重庆市圆丰除尘技术有限责任公司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2020-N1EMS-1267598</w:t>
            </w:r>
          </w:p>
          <w:p>
            <w:pPr>
              <w:jc w:val="center"/>
              <w:rPr>
                <w:b/>
                <w:sz w:val="21"/>
                <w:szCs w:val="21"/>
              </w:rPr>
            </w:pPr>
            <w:r>
              <w:rPr>
                <w:b/>
                <w:sz w:val="21"/>
                <w:szCs w:val="21"/>
              </w:rPr>
              <w:t>2021-N0OHSMS-1267598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eastAsia="宋体" w:cs="Times New Roman"/>
                <w:b/>
                <w:sz w:val="21"/>
              </w:rPr>
              <w:t>重庆市圆丰除尘技术有限责任公司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重庆市九龙坡区渝州路4号一城精英国际1幢19-19</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重庆市九龙坡区渝州路4号一城精英国际1幢19-19</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重庆市九龙坡区渝州路4号一城精英国际1幢19-19</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刘莹</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023-89120957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靳芳元</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靳芳元</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刘莹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2021年08月05日 上午至2021年08月05日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袋式粉尘收集器的销售及其相关环境管理活动</w:t>
            </w:r>
            <w:r>
              <w:rPr>
                <w:rFonts w:hint="eastAsia"/>
                <w:sz w:val="20"/>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袋式粉尘收集器的销售及其相关职业健康安全管理活动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beforeLines="20"/>
              <w:rPr>
                <w:rFonts w:hint="eastAsia"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rPr>
              <w:t>认证标准变更：</w:t>
            </w:r>
          </w:p>
          <w:p>
            <w:pPr>
              <w:spacing w:beforeLines="20"/>
              <w:rPr>
                <w:rFonts w:hint="eastAsia" w:ascii="宋体" w:hAnsi="宋体"/>
                <w:b/>
                <w:sz w:val="21"/>
                <w:szCs w:val="21"/>
              </w:rPr>
            </w:pPr>
            <w:r>
              <w:rPr>
                <w:rFonts w:hint="eastAsia" w:ascii="宋体" w:hAnsi="宋体"/>
                <w:b/>
                <w:sz w:val="21"/>
                <w:szCs w:val="21"/>
              </w:rPr>
              <w:t>原标准：</w:t>
            </w:r>
            <w:r>
              <w:rPr>
                <w:rFonts w:hint="eastAsia" w:ascii="宋体" w:hAnsi="宋体"/>
                <w:b/>
                <w:sz w:val="21"/>
                <w:szCs w:val="21"/>
                <w:lang w:val="en-US" w:eastAsia="zh-CN"/>
              </w:rPr>
              <w:t xml:space="preserve"> </w:t>
            </w:r>
            <w:r>
              <w:rPr>
                <w:rFonts w:ascii="宋体" w:hAnsi="宋体"/>
                <w:b/>
                <w:sz w:val="21"/>
                <w:szCs w:val="21"/>
              </w:rPr>
              <w:t>OHSMS</w:t>
            </w:r>
            <w:r>
              <w:rPr>
                <w:rFonts w:hint="eastAsia" w:ascii="宋体" w:hAnsi="宋体"/>
                <w:b/>
                <w:sz w:val="21"/>
                <w:szCs w:val="21"/>
              </w:rPr>
              <w:t>： GB/T 28001-2011idtOHSAS 18001:2007</w:t>
            </w:r>
          </w:p>
          <w:p>
            <w:pPr>
              <w:spacing w:beforeLines="20"/>
              <w:rPr>
                <w:rFonts w:hint="eastAsia" w:ascii="宋体" w:hAnsi="宋体"/>
                <w:b/>
                <w:sz w:val="21"/>
                <w:szCs w:val="21"/>
              </w:rPr>
            </w:pPr>
            <w:r>
              <w:rPr>
                <w:rFonts w:hint="eastAsia" w:ascii="宋体" w:hAnsi="宋体"/>
                <w:b/>
                <w:sz w:val="21"/>
                <w:szCs w:val="21"/>
              </w:rPr>
              <w:t>现标准</w:t>
            </w:r>
            <w:r>
              <w:rPr>
                <w:rFonts w:hint="eastAsia" w:ascii="宋体" w:hAnsi="宋体"/>
                <w:b/>
                <w:sz w:val="21"/>
                <w:szCs w:val="21"/>
                <w:lang w:eastAsia="zh-CN"/>
              </w:rPr>
              <w:t>：</w:t>
            </w:r>
            <w:r>
              <w:rPr>
                <w:rFonts w:hint="eastAsia" w:ascii="宋体" w:hAnsi="宋体"/>
                <w:b/>
                <w:sz w:val="21"/>
                <w:szCs w:val="21"/>
              </w:rPr>
              <w:t xml:space="preserve"> </w:t>
            </w:r>
            <w:r>
              <w:rPr>
                <w:rFonts w:ascii="宋体" w:hAnsi="宋体"/>
                <w:b/>
                <w:sz w:val="21"/>
                <w:szCs w:val="21"/>
              </w:rPr>
              <w:t>OHSMS</w:t>
            </w:r>
            <w:r>
              <w:rPr>
                <w:rFonts w:hint="eastAsia" w:ascii="宋体" w:hAnsi="宋体"/>
                <w:b/>
                <w:sz w:val="21"/>
                <w:szCs w:val="21"/>
              </w:rPr>
              <w:t>：  GB/T45001-2020 / ISO45001：2018</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E：29.10.07</w:t>
            </w:r>
          </w:p>
          <w:p>
            <w:pPr>
              <w:spacing w:line="260" w:lineRule="exact"/>
              <w:rPr>
                <w:rFonts w:ascii="宋体" w:hAnsi="宋体"/>
                <w:b/>
                <w:sz w:val="21"/>
                <w:szCs w:val="21"/>
              </w:rPr>
            </w:pPr>
            <w:r>
              <w:rPr>
                <w:rFonts w:ascii="宋体" w:hAnsi="宋体"/>
                <w:b/>
                <w:sz w:val="21"/>
                <w:szCs w:val="21"/>
              </w:rPr>
              <w:t>O：29.10.07</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2022年09月17日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eastAsia="宋体"/>
          <w:sz w:val="20"/>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sz w:val="20"/>
        </w:rPr>
        <w:t>袋式粉尘收集器的销售及其相关环境</w:t>
      </w:r>
      <w:r>
        <w:rPr>
          <w:rFonts w:hint="eastAsia"/>
          <w:sz w:val="20"/>
          <w:lang w:val="en-US" w:eastAsia="zh-CN"/>
        </w:rPr>
        <w:t>和</w:t>
      </w:r>
      <w:r>
        <w:rPr>
          <w:sz w:val="20"/>
        </w:rPr>
        <w:t>职业健康安全管理活动</w:t>
      </w:r>
      <w:r>
        <w:rPr>
          <w:rFonts w:hint="eastAsia"/>
          <w:sz w:val="20"/>
          <w:lang w:eastAsia="zh-CN"/>
        </w:rPr>
        <w:t>。</w:t>
      </w:r>
    </w:p>
    <w:p>
      <w:pPr>
        <w:spacing w:before="163" w:beforeLines="50"/>
        <w:ind w:left="-194" w:leftChars="-81"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ascii="宋体" w:hAnsi="宋体"/>
                <w:sz w:val="21"/>
                <w:szCs w:val="21"/>
              </w:rPr>
            </w:pPr>
            <w:r>
              <w:rPr>
                <w:color w:val="000000"/>
                <w:sz w:val="21"/>
                <w:szCs w:val="21"/>
              </w:rPr>
              <w:t>重庆市圆丰除尘技术有限责任公司</w:t>
            </w:r>
            <w:r>
              <w:rPr>
                <w:rFonts w:hint="eastAsia" w:ascii="宋体" w:hAnsi="宋体"/>
                <w:sz w:val="21"/>
                <w:szCs w:val="21"/>
              </w:rPr>
              <w:t>，公司地址：</w:t>
            </w:r>
            <w:r>
              <w:rPr>
                <w:sz w:val="21"/>
                <w:szCs w:val="21"/>
              </w:rPr>
              <w:t>重庆市九龙坡区渝州路4号一城精英国际1幢19-19</w:t>
            </w:r>
            <w:r>
              <w:rPr>
                <w:rFonts w:hint="eastAsia" w:ascii="宋体" w:hAnsi="宋体"/>
                <w:sz w:val="21"/>
                <w:szCs w:val="21"/>
              </w:rPr>
              <w:t>，主要从事袋式粉尘收集器的销售。</w:t>
            </w:r>
          </w:p>
          <w:p>
            <w:pPr>
              <w:spacing w:line="400" w:lineRule="exact"/>
              <w:ind w:firstLine="420" w:firstLineChars="200"/>
              <w:jc w:val="left"/>
              <w:rPr>
                <w:rFonts w:hint="eastAsia" w:ascii="宋体" w:hAnsi="宋体"/>
                <w:b/>
                <w:sz w:val="21"/>
                <w:szCs w:val="21"/>
              </w:rPr>
            </w:pPr>
            <w:r>
              <w:rPr>
                <w:rFonts w:hint="eastAsia" w:ascii="宋体" w:hAnsi="宋体" w:cs="Times New Roman"/>
                <w:sz w:val="21"/>
                <w:szCs w:val="21"/>
                <w:highlight w:val="none"/>
              </w:rPr>
              <w:t>现有员工数</w:t>
            </w:r>
            <w:r>
              <w:rPr>
                <w:rFonts w:hint="eastAsia" w:ascii="宋体" w:hAnsi="宋体" w:cs="Times New Roman"/>
                <w:sz w:val="21"/>
                <w:szCs w:val="21"/>
                <w:highlight w:val="none"/>
                <w:lang w:val="en-US" w:eastAsia="zh-CN"/>
              </w:rPr>
              <w:t>10</w:t>
            </w:r>
            <w:r>
              <w:rPr>
                <w:rFonts w:hint="eastAsia" w:ascii="宋体" w:hAnsi="宋体" w:cs="Times New Roman"/>
                <w:sz w:val="21"/>
                <w:szCs w:val="21"/>
                <w:highlight w:val="none"/>
              </w:rPr>
              <w:t>人，经营状况</w:t>
            </w:r>
            <w:r>
              <w:rPr>
                <w:rFonts w:hint="eastAsia" w:ascii="宋体" w:hAnsi="宋体" w:cs="Times New Roman"/>
                <w:sz w:val="21"/>
                <w:szCs w:val="21"/>
              </w:rPr>
              <w:t>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eastAsia="宋体" w:cs="Times New Roman"/>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exact"/>
              <w:ind w:right="210"/>
              <w:jc w:val="both"/>
              <w:rPr>
                <w:rFonts w:hint="eastAsia" w:ascii="宋体" w:hAnsi="宋体" w:eastAsia="宋体"/>
                <w:b/>
                <w:sz w:val="21"/>
                <w:szCs w:val="21"/>
                <w:lang w:eastAsia="zh-CN"/>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w:t>
            </w:r>
            <w:r>
              <w:rPr>
                <w:rFonts w:hint="eastAsia" w:ascii="宋体" w:hAnsi="宋体" w:cs="宋体"/>
                <w:color w:val="000000"/>
                <w:sz w:val="21"/>
                <w:szCs w:val="21"/>
                <w:lang w:eastAsia="zh-CN"/>
              </w:rPr>
              <w:t>：</w:t>
            </w:r>
            <w:r>
              <w:rPr>
                <w:rFonts w:hint="eastAsia" w:ascii="宋体" w:hAnsi="宋体" w:cs="宋体"/>
                <w:color w:val="000000"/>
                <w:sz w:val="21"/>
                <w:szCs w:val="21"/>
              </w:rPr>
              <w:t>最高管理者组织制定了方针</w:t>
            </w:r>
            <w:r>
              <w:rPr>
                <w:rFonts w:hint="eastAsia" w:ascii="宋体" w:hAnsi="宋体" w:cs="宋体"/>
                <w:color w:val="000000"/>
                <w:sz w:val="21"/>
                <w:szCs w:val="21"/>
                <w:lang w:eastAsia="zh-CN"/>
              </w:rPr>
              <w:t>，</w:t>
            </w:r>
            <w:r>
              <w:rPr>
                <w:rFonts w:hint="eastAsia" w:ascii="宋体" w:hAnsi="宋体"/>
                <w:color w:val="000000" w:themeColor="text1"/>
                <w:sz w:val="21"/>
                <w:szCs w:val="21"/>
              </w:rPr>
              <w:t>现行的管理方针在管理手册有专门的释议，具备适宜性。通过会议、张贴等方式进行传达宣贯，管理绩效表明其方针能够通过管理体系加以有效实施、实现及动态管理，实际未发生变更。管理方针：</w:t>
            </w:r>
            <w:r>
              <w:rPr>
                <w:rFonts w:hint="eastAsia" w:hAnsi="宋体" w:cs="宋体"/>
                <w:sz w:val="21"/>
                <w:szCs w:val="21"/>
              </w:rPr>
              <w:t>“</w:t>
            </w:r>
            <w:r>
              <w:rPr>
                <w:rFonts w:hint="eastAsia" w:ascii="宋体" w:hAnsi="宋体" w:cs="宋体"/>
                <w:kern w:val="0"/>
                <w:sz w:val="21"/>
                <w:szCs w:val="21"/>
              </w:rPr>
              <w:t>科学管理、合法经营；优质高效、顾客满意；预防污染、保护环境；关爱生命、保障健康</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eastAsia="zh-CN"/>
              </w:rPr>
              <w:t>采购、</w:t>
            </w:r>
            <w:r>
              <w:rPr>
                <w:rFonts w:hint="eastAsia" w:ascii="宋体" w:hAnsi="宋体" w:cs="宋体"/>
                <w:color w:val="000000" w:themeColor="text1"/>
                <w:sz w:val="21"/>
                <w:szCs w:val="21"/>
                <w:lang w:val="en-US" w:eastAsia="zh-CN"/>
              </w:rPr>
              <w:t>销售</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color w:val="000000"/>
                <w:sz w:val="21"/>
                <w:szCs w:val="21"/>
              </w:rPr>
            </w:pPr>
            <w:r>
              <w:rPr>
                <w:rFonts w:hint="eastAsia"/>
                <w:color w:val="000000"/>
                <w:sz w:val="21"/>
                <w:szCs w:val="21"/>
              </w:rPr>
              <w:t>环境、职业健康安全目标：</w:t>
            </w:r>
          </w:p>
          <w:p>
            <w:pPr>
              <w:snapToGrid w:val="0"/>
              <w:ind w:firstLine="630" w:firstLineChars="300"/>
              <w:rPr>
                <w:rFonts w:ascii="宋体" w:hAnsi="宋体" w:cs="宋体"/>
                <w:kern w:val="0"/>
                <w:sz w:val="21"/>
                <w:szCs w:val="21"/>
              </w:rPr>
            </w:pPr>
            <w:r>
              <w:rPr>
                <w:rFonts w:hint="eastAsia" w:ascii="宋体" w:hAnsi="宋体" w:cs="宋体"/>
                <w:kern w:val="0"/>
                <w:sz w:val="21"/>
                <w:szCs w:val="21"/>
              </w:rPr>
              <w:t>1、火灾事故为0；</w:t>
            </w:r>
          </w:p>
          <w:p>
            <w:pPr>
              <w:snapToGrid w:val="0"/>
              <w:ind w:firstLine="630" w:firstLineChars="300"/>
              <w:rPr>
                <w:rFonts w:ascii="宋体" w:hAnsi="宋体" w:cs="宋体"/>
                <w:kern w:val="0"/>
                <w:sz w:val="21"/>
                <w:szCs w:val="21"/>
              </w:rPr>
            </w:pPr>
            <w:r>
              <w:rPr>
                <w:rFonts w:hint="eastAsia" w:ascii="宋体" w:hAnsi="宋体" w:cs="宋体"/>
                <w:kern w:val="0"/>
                <w:sz w:val="21"/>
                <w:szCs w:val="21"/>
              </w:rPr>
              <w:t>2、固废分类回收率100%；</w:t>
            </w:r>
          </w:p>
          <w:p>
            <w:pPr>
              <w:snapToGrid w:val="0"/>
              <w:ind w:firstLine="630" w:firstLineChars="300"/>
              <w:rPr>
                <w:rFonts w:ascii="宋体" w:hAnsi="宋体" w:cs="宋体"/>
                <w:kern w:val="0"/>
                <w:szCs w:val="21"/>
              </w:rPr>
            </w:pPr>
            <w:r>
              <w:rPr>
                <w:rFonts w:hint="eastAsia" w:ascii="宋体" w:hAnsi="宋体" w:cs="宋体"/>
                <w:kern w:val="0"/>
                <w:sz w:val="21"/>
                <w:szCs w:val="21"/>
              </w:rPr>
              <w:t>3、人身伤害</w:t>
            </w:r>
            <w:r>
              <w:rPr>
                <w:rFonts w:hint="eastAsia" w:ascii="宋体" w:hAnsi="宋体" w:cs="宋体"/>
                <w:kern w:val="0"/>
                <w:szCs w:val="21"/>
              </w:rPr>
              <w:t>为0；</w:t>
            </w:r>
          </w:p>
          <w:p>
            <w:pPr>
              <w:ind w:firstLine="630" w:firstLineChars="300"/>
              <w:rPr>
                <w:rFonts w:hint="default" w:ascii="宋体" w:hAnsi="宋体" w:eastAsia="宋体"/>
                <w:b/>
                <w:sz w:val="21"/>
                <w:szCs w:val="21"/>
                <w:lang w:val="en-US" w:eastAsia="zh-CN"/>
              </w:rPr>
            </w:pPr>
            <w:r>
              <w:rPr>
                <w:rFonts w:hint="eastAsia" w:ascii="宋体" w:hAnsi="宋体" w:cs="宋体"/>
                <w:kern w:val="0"/>
                <w:sz w:val="21"/>
                <w:szCs w:val="21"/>
              </w:rPr>
              <w:t>4、火灾事故为0。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eastAsia="宋体" w:cs="宋体"/>
                <w:sz w:val="21"/>
                <w:szCs w:val="21"/>
              </w:rPr>
              <w:t>公司编制了《文件、记录控制程序》并按照申请认证的标准要求</w:t>
            </w:r>
            <w:r>
              <w:rPr>
                <w:rFonts w:hint="eastAsia" w:ascii="宋体" w:hAnsi="宋体" w:cs="宋体"/>
                <w:color w:val="000000" w:themeColor="text1"/>
                <w:sz w:val="21"/>
                <w:szCs w:val="21"/>
              </w:rPr>
              <w:t>，建立并形成了文件化的</w:t>
            </w:r>
            <w:r>
              <w:rPr>
                <w:rFonts w:hint="eastAsia" w:ascii="宋体" w:hAnsi="宋体"/>
                <w:color w:val="000000" w:themeColor="text1"/>
                <w:sz w:val="21"/>
                <w:szCs w:val="21"/>
              </w:rPr>
              <w:t>环境和职业健康安全</w:t>
            </w:r>
            <w:r>
              <w:rPr>
                <w:rFonts w:hint="eastAsia" w:ascii="宋体" w:hAnsi="宋体" w:eastAsia="宋体" w:cs="宋体"/>
                <w:color w:val="000000" w:themeColor="text1"/>
                <w:sz w:val="21"/>
                <w:szCs w:val="21"/>
              </w:rPr>
              <w:t>管理体系，体系文件对管理体系各过程进行了识别确定、明确了各要素间的相互关系及其管控要求。公司体系文件于20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日进行换版工作，由</w:t>
            </w:r>
            <w:r>
              <w:rPr>
                <w:rFonts w:hint="eastAsia" w:ascii="宋体" w:hAnsi="宋体" w:eastAsia="宋体" w:cs="宋体"/>
                <w:color w:val="000000" w:themeColor="text1"/>
                <w:sz w:val="21"/>
                <w:szCs w:val="21"/>
                <w:lang w:val="en-US" w:eastAsia="zh-CN"/>
              </w:rPr>
              <w:t>A</w:t>
            </w:r>
            <w:r>
              <w:rPr>
                <w:rFonts w:hint="eastAsia" w:ascii="宋体" w:hAnsi="宋体" w:eastAsia="宋体" w:cs="宋体"/>
                <w:color w:val="000000" w:themeColor="text1"/>
                <w:sz w:val="21"/>
                <w:szCs w:val="21"/>
              </w:rPr>
              <w:t>/0版更换为</w:t>
            </w:r>
            <w:r>
              <w:rPr>
                <w:rFonts w:hint="eastAsia" w:ascii="宋体" w:hAnsi="宋体" w:eastAsia="宋体" w:cs="宋体"/>
                <w:color w:val="000000" w:themeColor="text1"/>
                <w:sz w:val="21"/>
                <w:szCs w:val="21"/>
                <w:lang w:val="en-US" w:eastAsia="zh-CN"/>
              </w:rPr>
              <w:t>A</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版并由总经理批准予以发布并有效实施运行，</w:t>
            </w:r>
            <w:r>
              <w:rPr>
                <w:rFonts w:hint="eastAsia" w:ascii="宋体" w:hAnsi="宋体" w:cs="宋体"/>
                <w:color w:val="000000" w:themeColor="text1"/>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袋式粉尘收集器的销售</w:t>
            </w:r>
            <w:r>
              <w:rPr>
                <w:rFonts w:hint="eastAsia" w:ascii="宋体" w:hAnsi="宋体"/>
                <w:bCs/>
                <w:iCs/>
                <w:sz w:val="21"/>
                <w:szCs w:val="21"/>
              </w:rPr>
              <w:t>及相关服务运行环境，可以维持管理体系的正常运行。</w:t>
            </w:r>
          </w:p>
          <w:p>
            <w:pPr>
              <w:spacing w:line="300" w:lineRule="exact"/>
              <w:rPr>
                <w:rFonts w:ascii="宋体" w:hAnsi="宋体"/>
                <w:b/>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hAnsi="宋体"/>
                <w:b/>
                <w:sz w:val="21"/>
                <w:szCs w:val="21"/>
              </w:rPr>
            </w:pPr>
            <w:r>
              <w:rPr>
                <w:rFonts w:hint="eastAsia" w:ascii="宋体" w:hAnsi="宋体"/>
                <w:sz w:val="21"/>
                <w:szCs w:val="21"/>
              </w:rPr>
              <w:t>办公场所面积100平方左右。</w:t>
            </w:r>
            <w:r>
              <w:rPr>
                <w:rFonts w:hint="eastAsia" w:ascii="宋体" w:hAnsi="宋体" w:cs="宋体"/>
                <w:sz w:val="21"/>
                <w:szCs w:val="21"/>
              </w:rPr>
              <w:t>主要设备为电脑、打印机、传真机等办公设备</w:t>
            </w:r>
            <w:r>
              <w:rPr>
                <w:rFonts w:hint="eastAsia" w:ascii="宋体" w:hAnsi="宋体"/>
                <w:sz w:val="21"/>
                <w:szCs w:val="21"/>
              </w:rPr>
              <w:t>，可以满足袋式粉尘收集器的销售的需要</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cs="宋体"/>
                <w:sz w:val="21"/>
                <w:szCs w:val="21"/>
              </w:rPr>
              <w:t>办公、服务场所和内设备布置合理，通道畅通，照明设施齐全，均配备了消防设施等设施。办公室明亮，培训场所光线较充足。每月由综合部对工作环境进行定期检查。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b/>
                <w:sz w:val="21"/>
                <w:szCs w:val="21"/>
                <w:lang w:val="en-US" w:eastAsia="zh-CN"/>
              </w:rPr>
            </w:pPr>
            <w:r>
              <w:rPr>
                <w:rFonts w:hint="eastAsia" w:ascii="宋体"/>
                <w:color w:val="00000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eastAsia="宋体"/>
                <w:b/>
                <w:sz w:val="21"/>
                <w:szCs w:val="21"/>
                <w:lang w:eastAsia="zh-CN"/>
              </w:rPr>
            </w:pPr>
            <w:r>
              <w:rPr>
                <w:rFonts w:hint="eastAsia" w:ascii="宋体" w:hAnsi="宋体"/>
                <w:b/>
                <w:sz w:val="21"/>
                <w:szCs w:val="21"/>
              </w:rPr>
              <w:t>环保设施：</w:t>
            </w:r>
            <w:r>
              <w:rPr>
                <w:rFonts w:hint="eastAsia" w:ascii="宋体" w:hAnsi="宋体"/>
                <w:sz w:val="20"/>
                <w:szCs w:val="20"/>
              </w:rPr>
              <w:t>消防栓、灭火器</w:t>
            </w:r>
            <w:r>
              <w:rPr>
                <w:rFonts w:hint="eastAsia" w:ascii="宋体" w:hAns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宋体" w:hAnsi="宋体"/>
                <w:b/>
                <w:sz w:val="21"/>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ascii="宋体" w:hAnsi="宋体" w:cs="宋体"/>
                <w:color w:val="000000"/>
                <w:sz w:val="21"/>
                <w:szCs w:val="21"/>
                <w:lang w:eastAsia="zh-CN"/>
              </w:rPr>
              <w:t>现场</w:t>
            </w:r>
            <w:r>
              <w:rPr>
                <w:rFonts w:hint="eastAsia" w:ascii="宋体" w:hAnsi="宋体" w:cs="宋体"/>
                <w:color w:val="000000"/>
                <w:sz w:val="2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1080"/>
              </w:tabs>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sz w:val="21"/>
                <w:szCs w:val="21"/>
              </w:rPr>
              <w:t>固废排放、潜在火灾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w:t>
            </w:r>
            <w:r>
              <w:rPr>
                <w:rFonts w:hint="eastAsia" w:asciiTheme="minorEastAsia" w:hAnsiTheme="minorEastAsia" w:eastAsiaTheme="minorEastAsia"/>
                <w:bCs/>
                <w:iCs/>
                <w:sz w:val="21"/>
                <w:szCs w:val="21"/>
                <w:lang w:eastAsia="zh-CN"/>
              </w:rPr>
              <w:t>采购、销售</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Theme="minorEastAsia" w:hAnsiTheme="minorEastAsia" w:eastAsiaTheme="minorEastAsia"/>
                <w:bCs/>
                <w:iCs/>
                <w:sz w:val="21"/>
                <w:szCs w:val="21"/>
                <w:lang w:eastAsia="zh-CN"/>
              </w:rPr>
              <w:t>等</w:t>
            </w:r>
            <w:r>
              <w:rPr>
                <w:rFonts w:hint="eastAsia" w:asciiTheme="minorEastAsia" w:hAnsiTheme="minorEastAsia" w:eastAsiaTheme="minorEastAsia"/>
                <w:bCs/>
                <w:iCs/>
                <w:sz w:val="21"/>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火灾、触电、交通事故等），与之相关的过程有采购、验收、销售过程，针对不可接受风险制定了管理方案。控制措施实施有效。</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w:t>
            </w:r>
            <w:r>
              <w:rPr>
                <w:rFonts w:hint="eastAsia" w:asciiTheme="minorEastAsia" w:hAnsiTheme="minorEastAsia" w:eastAsiaTheme="minorEastAsia"/>
                <w:bCs/>
                <w:iCs/>
                <w:sz w:val="21"/>
                <w:szCs w:val="21"/>
                <w:lang w:eastAsia="zh-CN"/>
              </w:rPr>
              <w:t>、触电</w:t>
            </w:r>
            <w:r>
              <w:rPr>
                <w:rFonts w:hint="eastAsia" w:asciiTheme="minorEastAsia" w:hAnsiTheme="minorEastAsia" w:eastAsiaTheme="minorEastAsia"/>
                <w:bCs/>
                <w:iCs/>
                <w:sz w:val="21"/>
                <w:szCs w:val="21"/>
              </w:rPr>
              <w:t>，识别合理、有效。应急物资配备有灭火器和消防栓</w:t>
            </w:r>
            <w:r>
              <w:rPr>
                <w:rFonts w:hint="eastAsia" w:asciiTheme="minorEastAsia" w:hAnsiTheme="minorEastAsia" w:eastAsiaTheme="minorEastAsia"/>
                <w:bCs/>
                <w:iCs/>
                <w:sz w:val="21"/>
                <w:szCs w:val="21"/>
                <w:lang w:eastAsia="zh-CN"/>
              </w:rPr>
              <w:t>、配电箱</w:t>
            </w:r>
            <w:r>
              <w:rPr>
                <w:rFonts w:hint="eastAsia" w:asciiTheme="minorEastAsia" w:hAnsiTheme="minorEastAsia" w:eastAsiaTheme="minorEastAsia"/>
                <w:bCs/>
                <w:iCs/>
                <w:sz w:val="21"/>
                <w:szCs w:val="21"/>
              </w:rPr>
              <w:t>，编制有应急预案，并组织了演练，并对应急预案进行了评价。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w:t>
            </w:r>
            <w:r>
              <w:rPr>
                <w:rFonts w:hint="eastAsia" w:ascii="宋体" w:hAnsi="宋体" w:cs="宋体"/>
                <w:color w:val="000000"/>
                <w:sz w:val="21"/>
                <w:szCs w:val="21"/>
                <w:highlight w:val="none"/>
                <w:lang w:val="en-US" w:eastAsia="zh-CN"/>
              </w:rPr>
              <w:t>管理</w:t>
            </w:r>
            <w:bookmarkStart w:id="29" w:name="_GoBack"/>
            <w:bookmarkEnd w:id="29"/>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环境安全管理</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b/>
                <w:bCs/>
                <w:sz w:val="21"/>
                <w:szCs w:val="21"/>
              </w:rPr>
            </w:pPr>
            <w:r>
              <w:rPr>
                <w:rFonts w:hint="eastAsia"/>
                <w:b/>
                <w:bCs/>
                <w:sz w:val="21"/>
                <w:szCs w:val="21"/>
              </w:rPr>
              <w:t>顾客满意</w:t>
            </w:r>
          </w:p>
          <w:p>
            <w:pPr>
              <w:pStyle w:val="2"/>
              <w:numPr>
                <w:ilvl w:val="0"/>
                <w:numId w:val="0"/>
              </w:num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 xml:space="preserve">3. </w:t>
            </w:r>
            <w:r>
              <w:rPr>
                <w:rFonts w:hint="eastAsia" w:ascii="宋体" w:hAnsi="宋体"/>
                <w:b/>
                <w:sz w:val="21"/>
                <w:szCs w:val="21"/>
                <w:highlight w:val="none"/>
              </w:rPr>
              <w:t>内审（包括内审策划审核方案中考虑拟审核的过程和区域的状况和重要性）</w:t>
            </w:r>
          </w:p>
          <w:p>
            <w:pPr>
              <w:spacing w:line="240" w:lineRule="exact"/>
              <w:ind w:firstLine="210" w:firstLineChars="100"/>
              <w:rPr>
                <w:rFonts w:hint="eastAsia" w:ascii="宋体" w:hAnsi="宋体" w:eastAsia="宋体" w:cs="宋体"/>
                <w:sz w:val="21"/>
                <w:szCs w:val="21"/>
                <w:highlight w:val="none"/>
              </w:rPr>
            </w:pPr>
            <w:r>
              <w:rPr>
                <w:rFonts w:hint="eastAsia" w:ascii="宋体" w:hAnsi="宋体" w:cs="宋体"/>
                <w:sz w:val="21"/>
                <w:szCs w:val="21"/>
                <w:highlight w:val="none"/>
              </w:rPr>
              <w:t>建立有《内部审核控制程序》，规定了内审频</w:t>
            </w:r>
            <w:r>
              <w:rPr>
                <w:rFonts w:hint="eastAsia" w:ascii="宋体" w:hAnsi="宋体" w:eastAsia="宋体" w:cs="宋体"/>
                <w:sz w:val="21"/>
                <w:szCs w:val="21"/>
                <w:highlight w:val="none"/>
              </w:rPr>
              <w:t>次一年一次，内审时间： 2021年4月16-17日，拟定了审核实施表，明确了内审范围，内审人员经培训合格上岗，能力满足要求，未出现审核本部门情况，内审不符合项1项，涉及</w:t>
            </w:r>
            <w:r>
              <w:rPr>
                <w:rFonts w:hint="eastAsia" w:ascii="宋体" w:hAnsi="宋体" w:eastAsia="宋体" w:cs="宋体"/>
                <w:sz w:val="21"/>
                <w:szCs w:val="21"/>
                <w:highlight w:val="none"/>
                <w:lang w:val="en-US" w:eastAsia="zh-CN"/>
              </w:rPr>
              <w:t>行政</w:t>
            </w:r>
            <w:r>
              <w:rPr>
                <w:rFonts w:hint="eastAsia" w:ascii="宋体" w:hAnsi="宋体" w:eastAsia="宋体" w:cs="宋体"/>
                <w:sz w:val="21"/>
                <w:szCs w:val="21"/>
                <w:highlight w:val="none"/>
              </w:rPr>
              <w:t>部</w:t>
            </w:r>
            <w:r>
              <w:rPr>
                <w:rFonts w:hint="eastAsia" w:ascii="宋体" w:hAnsi="宋体" w:eastAsia="宋体" w:cs="宋体"/>
                <w:sz w:val="21"/>
                <w:szCs w:val="21"/>
                <w:highlight w:val="none"/>
                <w:lang w:val="en-US" w:eastAsia="zh-CN"/>
              </w:rPr>
              <w:t>E/S7.2条款</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在培训《中华人民共和国环境保护法》时，相关负责人未对培训效果作出评价</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rPr>
                <w:rFonts w:ascii="宋体" w:hAnsi="宋体"/>
                <w:b/>
                <w:sz w:val="21"/>
                <w:szCs w:val="21"/>
                <w:highlight w:val="none"/>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pStyle w:val="2"/>
              <w:rPr>
                <w:rFonts w:hint="eastAsia" w:ascii="方正仿宋简体" w:eastAsia="方正仿宋简体"/>
                <w:szCs w:val="21"/>
                <w:lang w:eastAsia="zh-CN"/>
              </w:rPr>
            </w:pPr>
            <w:r>
              <w:rPr>
                <w:rFonts w:hint="eastAsia" w:ascii="宋体" w:hAnsi="宋体"/>
                <w:b/>
                <w:sz w:val="21"/>
                <w:szCs w:val="21"/>
                <w:lang w:val="en-US" w:eastAsia="zh-CN"/>
              </w:rPr>
              <w:t xml:space="preserve"> 不适应</w:t>
            </w:r>
          </w:p>
          <w:p>
            <w:pPr>
              <w:numPr>
                <w:ilvl w:val="0"/>
                <w:numId w:val="0"/>
              </w:numPr>
              <w:spacing w:line="240" w:lineRule="exact"/>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6"/>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eastAsia="宋体" w:cs="宋体"/>
                <w:color w:val="auto"/>
                <w:sz w:val="21"/>
                <w:szCs w:val="21"/>
                <w:highlight w:val="none"/>
              </w:rPr>
              <w:t>上次</w:t>
            </w:r>
            <w:r>
              <w:rPr>
                <w:rFonts w:hint="eastAsia" w:ascii="宋体" w:hAnsi="宋体" w:cs="宋体"/>
                <w:color w:val="auto"/>
                <w:sz w:val="21"/>
                <w:szCs w:val="21"/>
                <w:highlight w:val="none"/>
                <w:lang w:eastAsia="zh-CN"/>
              </w:rPr>
              <w:t>审核</w:t>
            </w:r>
            <w:r>
              <w:rPr>
                <w:rFonts w:hint="eastAsia" w:ascii="宋体" w:hAnsi="宋体" w:eastAsia="宋体" w:cs="宋体"/>
                <w:color w:val="auto"/>
                <w:sz w:val="21"/>
                <w:szCs w:val="21"/>
                <w:highlight w:val="none"/>
              </w:rPr>
              <w:t>不符合为</w:t>
            </w:r>
            <w:r>
              <w:rPr>
                <w:rFonts w:hint="eastAsia" w:ascii="宋体" w:hAnsi="宋体" w:eastAsia="宋体" w:cs="宋体"/>
                <w:color w:val="auto"/>
                <w:sz w:val="21"/>
                <w:szCs w:val="21"/>
                <w:highlight w:val="none"/>
                <w:lang w:val="en-US" w:eastAsia="zh-CN"/>
              </w:rPr>
              <w:t>供销</w:t>
            </w:r>
            <w:r>
              <w:rPr>
                <w:rFonts w:hint="eastAsia" w:ascii="宋体" w:hAnsi="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E8.1</w:t>
            </w:r>
            <w:r>
              <w:rPr>
                <w:rFonts w:hint="eastAsia" w:ascii="宋体" w:hAnsi="宋体" w:cs="宋体"/>
                <w:color w:val="auto"/>
                <w:sz w:val="21"/>
                <w:szCs w:val="21"/>
                <w:highlight w:val="none"/>
                <w:lang w:val="en-US" w:eastAsia="zh-CN"/>
              </w:rPr>
              <w:t>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numPr>
          <w:ilvl w:val="0"/>
          <w:numId w:val="0"/>
        </w:numPr>
        <w:tabs>
          <w:tab w:val="left" w:pos="645"/>
        </w:tabs>
        <w:spacing w:after="163" w:afterLines="50" w:line="360" w:lineRule="exact"/>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3"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w:t>
      </w:r>
      <w:r>
        <w:rPr>
          <w:rFonts w:hint="eastAsia" w:ascii="宋体" w:hAnsi="宋体"/>
          <w:b/>
          <w:szCs w:val="21"/>
          <w:highlight w:val="none"/>
          <w:lang w:eastAsia="zh-CN"/>
        </w:rPr>
        <w:t>，</w:t>
      </w:r>
      <w:r>
        <w:rPr>
          <w:rFonts w:hint="eastAsia" w:ascii="宋体" w:hAnsi="宋体"/>
          <w:b/>
          <w:szCs w:val="21"/>
          <w:highlight w:val="none"/>
          <w:lang w:val="en-US" w:eastAsia="zh-CN"/>
        </w:rPr>
        <w:t>不符合项</w:t>
      </w:r>
      <w:r>
        <w:rPr>
          <w:rFonts w:hint="eastAsia" w:ascii="宋体" w:hAnsi="宋体"/>
          <w:b/>
          <w:szCs w:val="21"/>
          <w:highlight w:val="none"/>
        </w:rPr>
        <w:t>分布在</w:t>
      </w:r>
      <w:r>
        <w:rPr>
          <w:rFonts w:hint="eastAsia" w:ascii="宋体" w:hAnsi="宋体"/>
          <w:b/>
          <w:szCs w:val="21"/>
          <w:highlight w:val="none"/>
          <w:lang w:val="en-US" w:eastAsia="zh-CN"/>
        </w:rPr>
        <w:t>行政</w:t>
      </w:r>
      <w:r>
        <w:rPr>
          <w:rFonts w:hint="eastAsia" w:ascii="宋体" w:hAnsi="宋体"/>
          <w:b/>
          <w:szCs w:val="21"/>
          <w:highlight w:val="none"/>
        </w:rPr>
        <w:t>部门</w:t>
      </w:r>
      <w:r>
        <w:rPr>
          <w:rFonts w:hint="eastAsia" w:ascii="宋体" w:hAnsi="宋体"/>
          <w:b/>
          <w:szCs w:val="21"/>
          <w:highlight w:val="none"/>
          <w:lang w:val="en-US" w:eastAsia="zh-CN"/>
        </w:rPr>
        <w:t>E/S7.5.3</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pPr>
            <w:r>
              <w:t>1.</w:t>
            </w:r>
            <w:r>
              <w:rPr>
                <w:rFonts w:hint="eastAsia"/>
              </w:rPr>
              <w:t>□</w:t>
            </w:r>
            <w:r>
              <w:t>QMS</w:t>
            </w:r>
            <w:r>
              <w:rPr>
                <w:rFonts w:hint="eastAsia"/>
              </w:rPr>
              <w:t>□50430■</w:t>
            </w:r>
            <w:r>
              <w:t xml:space="preserve">EMS  </w:t>
            </w:r>
            <w:r>
              <w:rPr>
                <w:rFonts w:hint="eastAsia"/>
              </w:rPr>
              <w:t>■</w:t>
            </w:r>
            <w:r>
              <w:t>OHSMS</w:t>
            </w:r>
          </w:p>
          <w:p>
            <w:pPr>
              <w:spacing w:line="280" w:lineRule="exact"/>
            </w:pPr>
            <w:r>
              <w:rPr>
                <w:rFonts w:hint="eastAsia"/>
              </w:rPr>
              <w:t>的适宜性、充分性、运行有效性，自我完善机制等，管理体系满足适用要求和实现预期结果的能力。</w:t>
            </w:r>
          </w:p>
          <w:p>
            <w:pPr>
              <w:spacing w:line="280" w:lineRule="exact"/>
              <w:ind w:left="331" w:leftChars="88" w:hanging="120" w:hangingChars="50"/>
            </w:pPr>
            <w:r>
              <w:t>(</w:t>
            </w:r>
            <w:r>
              <w:rPr>
                <w:rFonts w:hint="eastAsia"/>
              </w:rPr>
              <w:t>描述组织的管理体系在认证周期内持续对过程控制的情况，持续满足标准要求和目标方面的有效性，向顾客提供稳定、合格产品，满足适用的环境</w:t>
            </w:r>
            <w:r>
              <w:t>/</w:t>
            </w:r>
            <w:r>
              <w:rPr>
                <w:rFonts w:hint="eastAsia"/>
              </w:rPr>
              <w:t>职业健康安全法规、防止污染、重大事故和持续改进而策划的活动的情况；扩大范围部分体系运行情况</w:t>
            </w:r>
            <w: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0"/>
              </w:rPr>
              <w:t>重庆市圆丰除尘技术有限责任公司</w:t>
            </w:r>
            <w:r>
              <w:rPr>
                <w:rFonts w:hint="eastAsia" w:asciiTheme="minorEastAsia" w:hAnsiTheme="minorEastAsia" w:eastAsiaTheme="minorEastAsia"/>
                <w:szCs w:val="24"/>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92" w:firstLineChars="150"/>
              <w:rPr>
                <w:rFonts w:ascii="宋体" w:hAnsi="宋体"/>
                <w:b/>
                <w:szCs w:val="21"/>
              </w:rPr>
            </w:pPr>
            <w:r>
              <w:rPr>
                <w:rFonts w:hint="eastAsia"/>
                <w:b/>
                <w:sz w:val="26"/>
                <w:szCs w:val="26"/>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b/>
                <w:sz w:val="26"/>
                <w:szCs w:val="26"/>
              </w:rPr>
              <w:t>□</w:t>
            </w:r>
            <w:r>
              <w:rPr>
                <w:rFonts w:ascii="宋体" w:hAnsi="宋体"/>
                <w:b/>
                <w:szCs w:val="21"/>
              </w:rPr>
              <w:t xml:space="preserve">EMS  </w:t>
            </w:r>
            <w:r>
              <w:rPr>
                <w:rFonts w:hint="eastAsia"/>
                <w:b/>
                <w:sz w:val="26"/>
                <w:szCs w:val="26"/>
              </w:rPr>
              <w:t>□</w:t>
            </w:r>
            <w:r>
              <w:rPr>
                <w:rFonts w:ascii="宋体" w:hAnsi="宋体"/>
                <w:b/>
                <w:szCs w:val="21"/>
              </w:rPr>
              <w:t>OHSMS</w:t>
            </w:r>
          </w:p>
          <w:p>
            <w:pPr>
              <w:spacing w:line="280" w:lineRule="exact"/>
              <w:ind w:firstLine="361" w:firstLineChars="150"/>
              <w:rPr>
                <w:rFonts w:hint="default" w:ascii="宋体" w:hAnsi="宋体" w:eastAsia="宋体"/>
                <w:b/>
                <w:szCs w:val="21"/>
                <w:lang w:val="en-US" w:eastAsia="zh-CN"/>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r>
              <w:rPr>
                <w:rFonts w:hint="eastAsia" w:ascii="宋体" w:hAnsi="宋体"/>
                <w:b/>
                <w:szCs w:val="21"/>
                <w:lang w:val="en-US" w:eastAsia="zh-CN"/>
              </w:rPr>
              <w:t>更换证书）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b/>
          <w:sz w:val="22"/>
          <w:szCs w:val="22"/>
        </w:rPr>
        <w:drawing>
          <wp:anchor distT="0" distB="0" distL="114300" distR="114300" simplePos="0" relativeHeight="251663360" behindDoc="0" locked="0" layoutInCell="1" allowOverlap="1">
            <wp:simplePos x="0" y="0"/>
            <wp:positionH relativeFrom="column">
              <wp:posOffset>1713865</wp:posOffset>
            </wp:positionH>
            <wp:positionV relativeFrom="paragraph">
              <wp:posOffset>-81915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1647190</wp:posOffset>
            </wp:positionH>
            <wp:positionV relativeFrom="paragraph">
              <wp:posOffset>334010</wp:posOffset>
            </wp:positionV>
            <wp:extent cx="640080" cy="319405"/>
            <wp:effectExtent l="0" t="0" r="0" b="6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40080" cy="319405"/>
                    </a:xfrm>
                    <a:prstGeom prst="rect">
                      <a:avLst/>
                    </a:prstGeom>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2021年8月5日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highlight w:val="none"/>
        </w:rPr>
      </w:pPr>
      <w:r>
        <w:rPr>
          <w:rFonts w:hint="eastAsia"/>
          <w:b/>
          <w:sz w:val="26"/>
          <w:szCs w:val="26"/>
          <w:highlight w:val="none"/>
        </w:rPr>
        <w:t>十三、纠正措施验证及结论</w:t>
      </w:r>
      <w:r>
        <w:rPr>
          <w:rFonts w:hint="eastAsia"/>
          <w:b/>
          <w:bCs/>
          <w:sz w:val="16"/>
          <w:szCs w:val="16"/>
          <w:highlight w:val="none"/>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OHSMS(</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highlight w:val="none"/>
        </w:rPr>
      </w:pPr>
    </w:p>
    <w:p>
      <w:pPr>
        <w:spacing w:before="163" w:beforeLines="50" w:line="400" w:lineRule="exact"/>
        <w:rPr>
          <w:b/>
          <w:sz w:val="21"/>
          <w:szCs w:val="21"/>
          <w:highlight w:val="none"/>
          <w:u w:val="single"/>
        </w:rPr>
      </w:pPr>
      <w:r>
        <w:rPr>
          <w:rFonts w:hint="eastAsia"/>
          <w:b/>
          <w:sz w:val="21"/>
          <w:szCs w:val="21"/>
          <w:highlight w:val="none"/>
        </w:rPr>
        <w:t>存在问题说明及意见：</w:t>
      </w:r>
    </w:p>
    <w:p>
      <w:pPr>
        <w:spacing w:line="400" w:lineRule="exact"/>
        <w:rPr>
          <w:b/>
          <w:sz w:val="21"/>
          <w:szCs w:val="21"/>
          <w:highlight w:val="none"/>
          <w:u w:val="single"/>
        </w:rPr>
      </w:pPr>
    </w:p>
    <w:p>
      <w:pPr>
        <w:spacing w:before="163" w:beforeLines="50"/>
        <w:ind w:firstLine="632" w:firstLineChars="300"/>
        <w:rPr>
          <w:b/>
          <w:sz w:val="21"/>
          <w:szCs w:val="21"/>
          <w:highlight w:val="none"/>
        </w:rPr>
      </w:pPr>
      <w:r>
        <w:rPr>
          <w:b/>
          <w:sz w:val="21"/>
          <w:szCs w:val="21"/>
          <w:highlight w:val="none"/>
        </w:rPr>
        <w:t>2.</w:t>
      </w:r>
      <w:r>
        <w:rPr>
          <w:rFonts w:hint="eastAsia"/>
          <w:b/>
          <w:sz w:val="21"/>
          <w:szCs w:val="21"/>
          <w:highlight w:val="none"/>
        </w:rPr>
        <w:t>验证结论：</w:t>
      </w:r>
    </w:p>
    <w:p>
      <w:pPr>
        <w:tabs>
          <w:tab w:val="left" w:pos="6880"/>
          <w:tab w:val="left" w:pos="7740"/>
          <w:tab w:val="left" w:pos="8385"/>
        </w:tabs>
        <w:snapToGrid w:val="0"/>
        <w:spacing w:before="163" w:beforeLines="50"/>
        <w:ind w:firstLine="1717" w:firstLineChars="900"/>
        <w:rPr>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snapToGrid w:val="0"/>
        <w:spacing w:line="280" w:lineRule="exact"/>
        <w:ind w:firstLine="6626" w:firstLineChars="3000"/>
        <w:rPr>
          <w:rFonts w:hint="eastAsia"/>
          <w:b/>
          <w:sz w:val="21"/>
          <w:szCs w:val="21"/>
          <w:highlight w:val="none"/>
        </w:rPr>
      </w:pPr>
      <w:r>
        <w:rPr>
          <w:rFonts w:hint="eastAsia"/>
          <w:b/>
          <w:sz w:val="22"/>
          <w:szCs w:val="22"/>
          <w:highlight w:val="none"/>
        </w:rPr>
        <w:drawing>
          <wp:anchor distT="0" distB="0" distL="114300" distR="114300" simplePos="0" relativeHeight="251665408" behindDoc="0" locked="0" layoutInCell="1" allowOverlap="1">
            <wp:simplePos x="0" y="0"/>
            <wp:positionH relativeFrom="column">
              <wp:posOffset>1923415</wp:posOffset>
            </wp:positionH>
            <wp:positionV relativeFrom="paragraph">
              <wp:posOffset>125730</wp:posOffset>
            </wp:positionV>
            <wp:extent cx="814705" cy="451485"/>
            <wp:effectExtent l="0" t="0" r="8255" b="571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814705" cy="451485"/>
                    </a:xfrm>
                    <a:prstGeom prst="rect">
                      <a:avLst/>
                    </a:prstGeom>
                    <a:noFill/>
                    <a:ln w="9525">
                      <a:noFill/>
                      <a:miter lim="800000"/>
                      <a:headEnd/>
                      <a:tailEnd/>
                    </a:ln>
                  </pic:spPr>
                </pic:pic>
              </a:graphicData>
            </a:graphic>
          </wp:anchor>
        </w:drawing>
      </w:r>
    </w:p>
    <w:p>
      <w:pPr>
        <w:snapToGrid w:val="0"/>
        <w:spacing w:line="280" w:lineRule="exact"/>
        <w:ind w:firstLine="1897" w:firstLineChars="900"/>
        <w:rPr>
          <w:rFonts w:hint="eastAsia"/>
          <w:b/>
          <w:sz w:val="21"/>
          <w:szCs w:val="21"/>
          <w:highlight w:val="none"/>
          <w:lang w:val="en-US" w:eastAsia="zh-CN"/>
        </w:rPr>
      </w:pPr>
      <w:r>
        <w:rPr>
          <w:rFonts w:hint="eastAsia"/>
          <w:b/>
          <w:sz w:val="21"/>
          <w:szCs w:val="21"/>
          <w:highlight w:val="none"/>
        </w:rPr>
        <w:t>组长签字：</w:t>
      </w:r>
      <w:r>
        <w:rPr>
          <w:rFonts w:hint="eastAsia"/>
          <w:b/>
          <w:sz w:val="21"/>
          <w:szCs w:val="21"/>
          <w:highlight w:val="none"/>
          <w:lang w:val="en-US" w:eastAsia="zh-CN"/>
        </w:rPr>
        <w:t xml:space="preserve">                   </w:t>
      </w:r>
      <w:r>
        <w:rPr>
          <w:rFonts w:hint="eastAsia"/>
          <w:b/>
          <w:sz w:val="21"/>
          <w:highlight w:val="none"/>
        </w:rPr>
        <w:t>日期：</w:t>
      </w:r>
      <w:r>
        <w:rPr>
          <w:rFonts w:hint="eastAsia"/>
          <w:b/>
          <w:sz w:val="21"/>
          <w:szCs w:val="21"/>
          <w:highlight w:val="none"/>
          <w:lang w:val="en-US" w:eastAsia="zh-CN"/>
        </w:rPr>
        <w:t>2021年8月9日</w:t>
      </w:r>
    </w:p>
    <w:p>
      <w:pPr>
        <w:pStyle w:val="2"/>
        <w:rPr>
          <w:rFonts w:hint="default"/>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0347EBF"/>
    <w:multiLevelType w:val="singleLevel"/>
    <w:tmpl w:val="D0347EBF"/>
    <w:lvl w:ilvl="0" w:tentative="0">
      <w:start w:val="2"/>
      <w:numFmt w:val="decimal"/>
      <w:lvlText w:val="%1."/>
      <w:lvlJc w:val="left"/>
      <w:pPr>
        <w:tabs>
          <w:tab w:val="left" w:pos="312"/>
        </w:tabs>
      </w:pPr>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6AE0E81F"/>
    <w:multiLevelType w:val="singleLevel"/>
    <w:tmpl w:val="6AE0E81F"/>
    <w:lvl w:ilvl="0" w:tentative="0">
      <w:start w:val="2"/>
      <w:numFmt w:val="decimal"/>
      <w:suff w:val="nothing"/>
      <w:lvlText w:val="%1、"/>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230B8"/>
    <w:rsid w:val="0CB164A0"/>
    <w:rsid w:val="0E390C55"/>
    <w:rsid w:val="23043DE7"/>
    <w:rsid w:val="314E0F33"/>
    <w:rsid w:val="555516E2"/>
    <w:rsid w:val="572E4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4"/>
    <w:qFormat/>
    <w:locked/>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1"/>
    <w:semiHidden/>
    <w:qFormat/>
    <w:uiPriority w:val="99"/>
    <w:rPr>
      <w:sz w:val="18"/>
      <w:szCs w:val="18"/>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semiHidden/>
    <w:qFormat/>
    <w:locked/>
    <w:uiPriority w:val="99"/>
    <w:rPr>
      <w:rFonts w:ascii="Times New Roman" w:hAnsi="Times New Roman" w:eastAsia="宋体" w:cs="Times New Roman"/>
      <w:sz w:val="18"/>
      <w:szCs w:val="18"/>
    </w:rPr>
  </w:style>
  <w:style w:type="character" w:customStyle="1" w:styleId="13">
    <w:name w:val="页眉 Char"/>
    <w:link w:val="7"/>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2021-08-05T08:04:00Z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D1FCD244D399480197940B904ABF5253</vt:lpwstr>
  </property>
</Properties>
</file>