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杭州成功超声设备有限公司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E：19.14.00;34.05.00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O：19.14.00;34.05.00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方小娥； 王丽娟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林兵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720" w:lineRule="exact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下料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→清洗→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精加工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装配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→老化→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精加工的风险：噪声、机械伤害风险；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针对风险采取的措施：设备维护保养，加强风险告知信息宣传和教育；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关键过程：老化过程，对产品质量性能十分关键，但无相关环境和安全风险；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废水主要为生活污水，排放园区管道；；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噪声应尽量定期检修，加强润滑，保持设备良好的运转状态，达到GB12348-2008工业企业厂界环境噪声排放标准；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固废主要为切割金属部件边角料，资源化外售；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车间化学因子危害、焊接烟气、粉尘危险、噪声危害、机械伤害等；措施；车间其他作业人员配戴口罩和耳塞等；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《中华人民共和国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环境保护法》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、《中华人民共和国安全生产法》、 职业病防治法、GB12348-2008《工业企业厂界环境噪声排</w:t>
            </w:r>
            <w:r>
              <w:rPr>
                <w:rFonts w:hint="eastAsia"/>
                <w:b/>
                <w:sz w:val="20"/>
                <w:lang w:val="en-US" w:eastAsia="zh-CN"/>
              </w:rPr>
              <w:t>放标准》、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用人单位职业病危害告知与警示标识管理规范》、GBZ158-2013《工作场所职业病危害警示标识》、GBZ188-2014《职业健康监护技术规范》、GBZ2.1-2019《工作场所有害因素职业接触限值 第1部分：化学有害因素》、GBZ2.2-2017《工作场所有害因素职业接触限值 第2部分：物理因素》等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6" w:name="_GoBack"/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换能器产品目前无国家或行业标准，但该企业依据企业标准和“浙江制造”标准出厂检验和型式检验，主要的检验项目有换能器的谐振频率、等效电阻、换能器自由电容、换能器绝缘电阻、绝缘强度、温升等主要项目。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方小娥 王丽娟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2021-8-11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2021-8-11</w:t>
      </w:r>
      <w:r>
        <w:rPr>
          <w:rFonts w:hint="eastAsia"/>
          <w:b/>
          <w:sz w:val="18"/>
          <w:szCs w:val="18"/>
        </w:rPr>
        <w:t xml:space="preserve"> 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263732"/>
    <w:rsid w:val="15D30285"/>
    <w:rsid w:val="15D86C25"/>
    <w:rsid w:val="257E5781"/>
    <w:rsid w:val="37080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locked/>
    <w:uiPriority w:val="0"/>
    <w:rPr>
      <w:i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2021-09-09T22:14:38Z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2058B2E49A6A4E6B82221331226C7588</vt:lpwstr>
  </property>
</Properties>
</file>