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ind w:firstLine="321" w:firstLineChars="100"/>
        <w:jc w:val="right"/>
        <w:rPr>
          <w:rFonts w:ascii="楷体" w:hAnsi="楷体" w:eastAsia="楷体"/>
          <w:b/>
          <w:color w:val="000000" w:themeColor="text1"/>
          <w:sz w:val="32"/>
          <w:szCs w:val="32"/>
          <w:u w:val="none"/>
        </w:rPr>
      </w:pPr>
      <w:r>
        <w:rPr>
          <w:rFonts w:hint="eastAsia" w:ascii="楷体" w:hAnsi="楷体" w:eastAsia="楷体"/>
          <w:b/>
          <w:color w:val="000000" w:themeColor="text1"/>
          <w:sz w:val="32"/>
          <w:szCs w:val="32"/>
          <w:u w:val="none"/>
        </w:rPr>
        <w:t>编  号：</w:t>
      </w:r>
      <w:bookmarkStart w:id="0" w:name="合同编号"/>
      <w:r>
        <w:rPr>
          <w:rFonts w:ascii="楷体" w:hAnsi="楷体" w:eastAsia="楷体"/>
          <w:b/>
          <w:color w:val="000000" w:themeColor="text1"/>
          <w:sz w:val="32"/>
          <w:szCs w:val="32"/>
          <w:u w:val="none"/>
        </w:rPr>
        <w:t>0815-2021-Q</w:t>
      </w:r>
      <w:bookmarkEnd w:id="0"/>
    </w:p>
    <w:p>
      <w:pPr>
        <w:snapToGrid w:val="0"/>
        <w:spacing w:after="94" w:afterLines="30"/>
        <w:ind w:firstLine="321" w:firstLineChars="100"/>
        <w:jc w:val="right"/>
        <w:rPr>
          <w:rFonts w:ascii="楷体" w:hAnsi="楷体" w:eastAsia="楷体"/>
          <w:b/>
          <w:color w:val="000000" w:themeColor="text1"/>
          <w:sz w:val="32"/>
          <w:szCs w:val="32"/>
          <w:u w:val="none"/>
        </w:rPr>
      </w:pPr>
    </w:p>
    <w:p>
      <w:pPr>
        <w:snapToGrid w:val="0"/>
        <w:spacing w:after="94" w:afterLines="30"/>
        <w:ind w:firstLine="321" w:firstLineChars="100"/>
        <w:jc w:val="right"/>
        <w:rPr>
          <w:rFonts w:ascii="楷体" w:hAnsi="楷体" w:eastAsia="楷体"/>
          <w:b/>
          <w:color w:val="000000" w:themeColor="text1"/>
          <w:sz w:val="32"/>
          <w:szCs w:val="32"/>
          <w:u w:val="none"/>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四川圣祥科技有限公司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785"/>
        <w:gridCol w:w="349"/>
        <w:gridCol w:w="708"/>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468" w:type="dxa"/>
            <w:gridSpan w:val="5"/>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1057" w:type="dxa"/>
            <w:gridSpan w:val="2"/>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gridSpan w:val="2"/>
            <w:vAlign w:val="center"/>
          </w:tcPr>
          <w:p>
            <w:pPr>
              <w:rPr>
                <w:b/>
                <w:color w:val="000000" w:themeColor="text1"/>
                <w:sz w:val="20"/>
                <w:szCs w:val="20"/>
              </w:rPr>
            </w:pPr>
            <w:r>
              <w:rPr>
                <w:rFonts w:hint="eastAsia"/>
                <w:b/>
                <w:color w:val="000000" w:themeColor="text1"/>
                <w:sz w:val="20"/>
                <w:szCs w:val="20"/>
              </w:rPr>
              <w:t>邮箱</w:t>
            </w:r>
          </w:p>
        </w:tc>
        <w:tc>
          <w:tcPr>
            <w:tcW w:w="2349" w:type="dxa"/>
            <w:gridSpan w:val="2"/>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113" w:type="dxa"/>
            <w:gridSpan w:val="2"/>
            <w:vAlign w:val="center"/>
          </w:tcPr>
          <w:p>
            <w:pPr>
              <w:spacing w:line="240" w:lineRule="exact"/>
              <w:jc w:val="center"/>
              <w:rPr>
                <w:b/>
                <w:color w:val="000000" w:themeColor="text1"/>
                <w:sz w:val="20"/>
                <w:szCs w:val="20"/>
              </w:rPr>
            </w:pPr>
            <w:r>
              <w:rPr>
                <w:rFonts w:hint="eastAsia"/>
                <w:sz w:val="18"/>
                <w:szCs w:val="18"/>
              </w:rPr>
              <w:t>注册资格</w:t>
            </w:r>
          </w:p>
        </w:tc>
        <w:tc>
          <w:tcPr>
            <w:tcW w:w="2698" w:type="dxa"/>
            <w:gridSpan w:val="3"/>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113" w:type="dxa"/>
            <w:gridSpan w:val="2"/>
            <w:vAlign w:val="center"/>
          </w:tcPr>
          <w:p>
            <w:pPr>
              <w:spacing w:line="240" w:lineRule="exact"/>
              <w:jc w:val="center"/>
              <w:rPr>
                <w:b/>
                <w:color w:val="000000" w:themeColor="text1"/>
                <w:sz w:val="20"/>
                <w:szCs w:val="20"/>
              </w:rPr>
            </w:pPr>
            <w:r>
              <w:rPr>
                <w:b/>
                <w:color w:val="000000" w:themeColor="text1"/>
                <w:sz w:val="20"/>
                <w:szCs w:val="20"/>
              </w:rPr>
              <w:t>审核员</w:t>
            </w:r>
          </w:p>
        </w:tc>
        <w:tc>
          <w:tcPr>
            <w:tcW w:w="2698" w:type="dxa"/>
            <w:gridSpan w:val="3"/>
            <w:vAlign w:val="center"/>
          </w:tcPr>
          <w:p>
            <w:pPr>
              <w:spacing w:line="240" w:lineRule="exact"/>
              <w:jc w:val="center"/>
              <w:rPr>
                <w:b/>
                <w:color w:val="000000" w:themeColor="text1"/>
                <w:sz w:val="20"/>
                <w:szCs w:val="20"/>
              </w:rPr>
            </w:pPr>
            <w:r>
              <w:rPr>
                <w:b/>
                <w:color w:val="000000" w:themeColor="text1"/>
                <w:sz w:val="20"/>
                <w:szCs w:val="20"/>
              </w:rPr>
              <w:t>17.06.01,17.12.05,29.10.07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113" w:type="dxa"/>
            <w:gridSpan w:val="2"/>
            <w:vAlign w:val="center"/>
          </w:tcPr>
          <w:p>
            <w:pPr>
              <w:rPr>
                <w:b/>
                <w:color w:val="000000" w:themeColor="text1"/>
                <w:sz w:val="20"/>
                <w:szCs w:val="20"/>
              </w:rPr>
            </w:pPr>
          </w:p>
        </w:tc>
        <w:tc>
          <w:tcPr>
            <w:tcW w:w="2698" w:type="dxa"/>
            <w:gridSpan w:val="3"/>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113" w:type="dxa"/>
            <w:gridSpan w:val="2"/>
            <w:vAlign w:val="center"/>
          </w:tcPr>
          <w:p>
            <w:pPr>
              <w:rPr>
                <w:b/>
                <w:color w:val="000000" w:themeColor="text1"/>
                <w:sz w:val="20"/>
                <w:szCs w:val="20"/>
              </w:rPr>
            </w:pPr>
          </w:p>
        </w:tc>
        <w:tc>
          <w:tcPr>
            <w:tcW w:w="2698" w:type="dxa"/>
            <w:gridSpan w:val="3"/>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113" w:type="dxa"/>
            <w:gridSpan w:val="2"/>
            <w:vAlign w:val="center"/>
          </w:tcPr>
          <w:p>
            <w:pPr>
              <w:rPr>
                <w:b/>
                <w:color w:val="000000" w:themeColor="text1"/>
                <w:sz w:val="20"/>
                <w:szCs w:val="20"/>
              </w:rPr>
            </w:pPr>
          </w:p>
        </w:tc>
        <w:tc>
          <w:tcPr>
            <w:tcW w:w="2698" w:type="dxa"/>
            <w:gridSpan w:val="3"/>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113" w:type="dxa"/>
            <w:gridSpan w:val="2"/>
            <w:vAlign w:val="center"/>
          </w:tcPr>
          <w:p>
            <w:pPr>
              <w:rPr>
                <w:b/>
                <w:color w:val="000000" w:themeColor="text1"/>
                <w:sz w:val="20"/>
                <w:szCs w:val="20"/>
              </w:rPr>
            </w:pPr>
            <w:r>
              <w:rPr>
                <w:rFonts w:hint="eastAsia"/>
                <w:b/>
                <w:color w:val="000000" w:themeColor="text1"/>
                <w:sz w:val="20"/>
                <w:szCs w:val="20"/>
              </w:rPr>
              <w:t>工作单位</w:t>
            </w:r>
          </w:p>
        </w:tc>
        <w:tc>
          <w:tcPr>
            <w:tcW w:w="2698" w:type="dxa"/>
            <w:gridSpan w:val="3"/>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113" w:type="dxa"/>
            <w:gridSpan w:val="2"/>
            <w:vAlign w:val="center"/>
          </w:tcPr>
          <w:p>
            <w:pPr>
              <w:rPr>
                <w:b/>
                <w:color w:val="000000" w:themeColor="text1"/>
              </w:rPr>
            </w:pPr>
          </w:p>
        </w:tc>
        <w:tc>
          <w:tcPr>
            <w:tcW w:w="2698" w:type="dxa"/>
            <w:gridSpan w:val="3"/>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113" w:type="dxa"/>
            <w:gridSpan w:val="2"/>
            <w:vAlign w:val="center"/>
          </w:tcPr>
          <w:p>
            <w:pPr>
              <w:rPr>
                <w:b/>
                <w:color w:val="000000" w:themeColor="text1"/>
              </w:rPr>
            </w:pPr>
          </w:p>
        </w:tc>
        <w:tc>
          <w:tcPr>
            <w:tcW w:w="2698" w:type="dxa"/>
            <w:gridSpan w:val="3"/>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GB/T19001-2016/ISO9001:2015</w:t>
      </w:r>
      <w:bookmarkEnd w:id="5"/>
    </w:p>
    <w:p>
      <w:pPr>
        <w:pStyle w:val="11"/>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四川圣祥科技有限公司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18</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绵阳市游仙区新桥镇同福村5社</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621000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center"/>
              <w:rPr>
                <w:rFonts w:ascii="宋体" w:hAnsi="宋体"/>
                <w:b/>
                <w:color w:val="000000" w:themeColor="text1"/>
                <w:sz w:val="20"/>
                <w:szCs w:val="20"/>
              </w:rPr>
            </w:pPr>
            <w:bookmarkStart w:id="10" w:name="办公地址"/>
            <w:r>
              <w:rPr>
                <w:rFonts w:ascii="宋体" w:hAnsi="宋体"/>
                <w:b/>
                <w:color w:val="000000" w:themeColor="text1"/>
                <w:sz w:val="20"/>
                <w:szCs w:val="20"/>
              </w:rPr>
              <w:t>绵阳市游仙区新桥镇同福村5社</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621000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杜明</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15892863112</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叶丹</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叶丹</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严磊</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电气化铁道及电力用供电器材（金属构件）的生产，接地棒验电器的销售</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17.06.01;17.12.05;29.10.07</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2021-01-20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724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管理层</w:t>
            </w:r>
          </w:p>
        </w:tc>
        <w:tc>
          <w:tcPr>
            <w:tcW w:w="7244" w:type="dxa"/>
            <w:vAlign w:val="top"/>
          </w:tcPr>
          <w:p>
            <w:pPr>
              <w:ind w:left="-137" w:leftChars="-337" w:hanging="571" w:hangingChars="271"/>
              <w:rPr>
                <w:rFonts w:hint="eastAsia" w:ascii="宋体" w:hAnsi="宋体" w:eastAsia="宋体" w:cs="Times New Roman"/>
                <w:b/>
                <w:color w:val="000000" w:themeColor="text1"/>
                <w:szCs w:val="21"/>
                <w:lang w:val="en-US" w:eastAsia="zh-CN"/>
              </w:rPr>
            </w:pPr>
            <w:r>
              <w:rPr>
                <w:rFonts w:hint="eastAsia" w:ascii="宋体" w:hAnsi="宋体" w:eastAsia="宋体" w:cs="Times New Roman"/>
                <w:b/>
                <w:color w:val="000000" w:themeColor="text1"/>
                <w:szCs w:val="21"/>
              </w:rPr>
              <w:t>内外部环境识别、管理职责分配、方针目标制定审批、提供必要的资源、管理评审、改进等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市场部</w:t>
            </w:r>
          </w:p>
        </w:tc>
        <w:tc>
          <w:tcPr>
            <w:tcW w:w="7244" w:type="dxa"/>
            <w:vAlign w:val="top"/>
          </w:tcPr>
          <w:p>
            <w:pPr>
              <w:ind w:left="-137" w:leftChars="-337" w:hanging="571" w:hangingChars="271"/>
              <w:rPr>
                <w:rFonts w:hint="eastAsia" w:ascii="宋体" w:hAnsi="宋体" w:eastAsia="宋体" w:cs="Times New Roman"/>
                <w:b/>
                <w:color w:val="000000" w:themeColor="text1"/>
                <w:szCs w:val="21"/>
                <w:lang w:val="en-US" w:eastAsia="zh-CN"/>
              </w:rPr>
            </w:pPr>
            <w:r>
              <w:rPr>
                <w:rFonts w:hint="eastAsia" w:ascii="宋体" w:hAnsi="宋体" w:eastAsia="宋体" w:cs="Times New Roman"/>
                <w:b/>
                <w:color w:val="000000" w:themeColor="text1"/>
                <w:szCs w:val="21"/>
              </w:rPr>
              <w:t>采购、供应商管理、销售、客户管理、顾客满意度调查、产品和服务要求的确定等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7244" w:type="dxa"/>
            <w:vAlign w:val="top"/>
          </w:tcPr>
          <w:p>
            <w:pPr>
              <w:ind w:left="-137" w:leftChars="-337" w:hanging="571" w:hangingChars="271"/>
              <w:rPr>
                <w:rFonts w:hint="eastAsia" w:ascii="宋体" w:hAnsi="宋体" w:eastAsia="宋体" w:cs="Times New Roman"/>
                <w:b/>
                <w:color w:val="000000" w:themeColor="text1"/>
                <w:szCs w:val="21"/>
                <w:lang w:val="en-US" w:eastAsia="zh-CN"/>
              </w:rPr>
            </w:pPr>
            <w:r>
              <w:rPr>
                <w:rFonts w:hint="eastAsia" w:ascii="宋体" w:hAnsi="宋体" w:eastAsia="宋体" w:cs="Times New Roman"/>
                <w:b/>
                <w:color w:val="000000" w:themeColor="text1"/>
                <w:szCs w:val="21"/>
              </w:rPr>
              <w:t>体系文件控制管理、人力资源、培训、内审执行、沟通、监视分析和评价等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生产部</w:t>
            </w:r>
          </w:p>
        </w:tc>
        <w:tc>
          <w:tcPr>
            <w:tcW w:w="7244" w:type="dxa"/>
            <w:vAlign w:val="top"/>
          </w:tcPr>
          <w:p>
            <w:pPr>
              <w:ind w:left="-137" w:leftChars="-337" w:hanging="571" w:hangingChars="271"/>
              <w:rPr>
                <w:rFonts w:hint="eastAsia" w:ascii="宋体" w:hAnsi="宋体" w:eastAsia="宋体" w:cs="Times New Roman"/>
                <w:b/>
                <w:color w:val="000000" w:themeColor="text1"/>
                <w:szCs w:val="21"/>
                <w:lang w:val="en-US" w:eastAsia="zh-CN"/>
              </w:rPr>
            </w:pPr>
            <w:r>
              <w:rPr>
                <w:rFonts w:hint="eastAsia" w:ascii="宋体" w:hAnsi="宋体" w:eastAsia="宋体" w:cs="Times New Roman"/>
                <w:b/>
                <w:color w:val="000000" w:themeColor="text1"/>
                <w:szCs w:val="21"/>
              </w:rPr>
              <w:t>生产、生产过程控制、产品检验、产品放行、库房管理等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vAlign w:val="top"/>
          </w:tcPr>
          <w:p>
            <w:pPr>
              <w:jc w:val="both"/>
              <w:rPr>
                <w:rFonts w:hint="eastAsia" w:ascii="宋体" w:hAnsi="宋体" w:eastAsia="宋体" w:cs="Times New Roman"/>
                <w:b/>
                <w:color w:val="000000" w:themeColor="text1"/>
                <w:kern w:val="2"/>
                <w:sz w:val="20"/>
                <w:szCs w:val="20"/>
                <w:lang w:val="en-US" w:eastAsia="zh-CN" w:bidi="ar-SA"/>
              </w:rPr>
            </w:pPr>
          </w:p>
        </w:tc>
        <w:tc>
          <w:tcPr>
            <w:tcW w:w="724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 xml:space="preserve">电气化铁道及电力用供电器材（金属构件）的生产，接地棒验电器的销售 </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cs="宋体"/>
                <w:szCs w:val="21"/>
                <w:highlight w:val="none"/>
              </w:rPr>
              <w:t>机械加工工艺装备基本术语GB</w:t>
            </w:r>
            <w:r>
              <w:rPr>
                <w:rFonts w:hint="eastAsia" w:ascii="宋体" w:hAnsi="宋体" w:cs="宋体"/>
                <w:szCs w:val="21"/>
                <w:highlight w:val="none"/>
                <w:lang w:val="en-US" w:eastAsia="zh-CN"/>
              </w:rPr>
              <w:t>/</w:t>
            </w:r>
            <w:r>
              <w:rPr>
                <w:rFonts w:hint="eastAsia" w:ascii="宋体" w:hAnsi="宋体" w:cs="宋体"/>
                <w:szCs w:val="21"/>
                <w:highlight w:val="none"/>
              </w:rPr>
              <w:t>T</w:t>
            </w:r>
            <w:r>
              <w:rPr>
                <w:rFonts w:hint="eastAsia" w:ascii="宋体" w:hAnsi="宋体" w:cs="宋体"/>
                <w:szCs w:val="21"/>
                <w:highlight w:val="none"/>
                <w:lang w:val="en-US" w:eastAsia="zh-CN"/>
              </w:rPr>
              <w:t xml:space="preserve"> </w:t>
            </w:r>
            <w:r>
              <w:rPr>
                <w:rFonts w:hint="eastAsia" w:ascii="宋体" w:hAnsi="宋体" w:cs="宋体"/>
                <w:szCs w:val="21"/>
                <w:highlight w:val="none"/>
              </w:rPr>
              <w:t>1008</w:t>
            </w:r>
            <w:r>
              <w:rPr>
                <w:rFonts w:hint="eastAsia" w:ascii="宋体" w:hAnsi="宋体" w:cs="宋体"/>
                <w:szCs w:val="21"/>
                <w:highlight w:val="none"/>
                <w:lang w:val="en-US" w:eastAsia="zh-CN"/>
              </w:rPr>
              <w:t>-2008、</w:t>
            </w:r>
            <w:r>
              <w:rPr>
                <w:rFonts w:hint="eastAsia" w:ascii="宋体" w:hAnsi="宋体" w:cs="宋体"/>
                <w:szCs w:val="21"/>
                <w:highlight w:val="none"/>
              </w:rPr>
              <w:t>机械加工定位、夹紧符号JB</w:t>
            </w:r>
            <w:r>
              <w:rPr>
                <w:rFonts w:hint="eastAsia" w:ascii="宋体" w:hAnsi="宋体" w:cs="宋体"/>
                <w:szCs w:val="21"/>
                <w:highlight w:val="none"/>
                <w:lang w:val="en-US" w:eastAsia="zh-CN"/>
              </w:rPr>
              <w:t>/</w:t>
            </w:r>
            <w:r>
              <w:rPr>
                <w:rFonts w:hint="eastAsia" w:ascii="宋体" w:hAnsi="宋体" w:cs="宋体"/>
                <w:szCs w:val="21"/>
                <w:highlight w:val="none"/>
              </w:rPr>
              <w:t>T</w:t>
            </w:r>
            <w:r>
              <w:rPr>
                <w:rFonts w:hint="eastAsia" w:ascii="宋体" w:hAnsi="宋体" w:cs="宋体"/>
                <w:szCs w:val="21"/>
                <w:highlight w:val="none"/>
                <w:lang w:val="en-US" w:eastAsia="zh-CN"/>
              </w:rPr>
              <w:t xml:space="preserve"> </w:t>
            </w:r>
            <w:r>
              <w:rPr>
                <w:rFonts w:hint="eastAsia" w:ascii="宋体" w:hAnsi="宋体" w:cs="宋体"/>
                <w:szCs w:val="21"/>
                <w:highlight w:val="none"/>
              </w:rPr>
              <w:t>5061</w:t>
            </w:r>
            <w:r>
              <w:rPr>
                <w:rFonts w:hint="eastAsia" w:ascii="宋体" w:hAnsi="宋体" w:cs="宋体"/>
                <w:szCs w:val="21"/>
                <w:highlight w:val="none"/>
                <w:lang w:val="en-US" w:eastAsia="zh-CN"/>
              </w:rPr>
              <w:t>-2006、</w:t>
            </w:r>
            <w:r>
              <w:rPr>
                <w:rFonts w:hint="eastAsia" w:ascii="宋体" w:hAnsi="宋体" w:cs="宋体"/>
                <w:szCs w:val="21"/>
                <w:highlight w:val="none"/>
              </w:rPr>
              <w:t>械加工工艺守则JB</w:t>
            </w:r>
            <w:r>
              <w:rPr>
                <w:rFonts w:hint="eastAsia" w:ascii="宋体" w:hAnsi="宋体" w:cs="宋体"/>
                <w:szCs w:val="21"/>
                <w:highlight w:val="none"/>
                <w:lang w:val="en-US" w:eastAsia="zh-CN"/>
              </w:rPr>
              <w:t>/</w:t>
            </w:r>
            <w:r>
              <w:rPr>
                <w:rFonts w:hint="eastAsia" w:ascii="宋体" w:hAnsi="宋体" w:cs="宋体"/>
                <w:szCs w:val="21"/>
                <w:highlight w:val="none"/>
              </w:rPr>
              <w:t>T</w:t>
            </w:r>
            <w:r>
              <w:rPr>
                <w:rFonts w:hint="eastAsia" w:ascii="宋体" w:hAnsi="宋体" w:cs="宋体"/>
                <w:szCs w:val="21"/>
                <w:highlight w:val="none"/>
                <w:lang w:val="en-US" w:eastAsia="zh-CN"/>
              </w:rPr>
              <w:t xml:space="preserve"> </w:t>
            </w:r>
            <w:r>
              <w:rPr>
                <w:rFonts w:hint="eastAsia" w:ascii="宋体" w:hAnsi="宋体" w:cs="宋体"/>
                <w:szCs w:val="21"/>
                <w:highlight w:val="none"/>
              </w:rPr>
              <w:t>9168</w:t>
            </w:r>
            <w:r>
              <w:rPr>
                <w:rFonts w:hint="eastAsia" w:ascii="宋体" w:hAnsi="宋体" w:cs="宋体"/>
                <w:szCs w:val="21"/>
                <w:highlight w:val="none"/>
                <w:lang w:val="en-US" w:eastAsia="zh-CN"/>
              </w:rPr>
              <w:t>-2006、</w:t>
            </w:r>
            <w:r>
              <w:rPr>
                <w:rFonts w:hint="eastAsia" w:ascii="宋体" w:hAnsi="宋体" w:cs="宋体"/>
                <w:szCs w:val="21"/>
                <w:highlight w:val="none"/>
              </w:rPr>
              <w:t>铸件 尺寸公差与机械加工余量GB/T 6414</w:t>
            </w:r>
            <w:r>
              <w:rPr>
                <w:rFonts w:hint="eastAsia" w:ascii="宋体" w:hAnsi="宋体" w:cs="宋体"/>
                <w:szCs w:val="21"/>
                <w:highlight w:val="none"/>
                <w:lang w:val="en-US" w:eastAsia="zh-CN"/>
              </w:rPr>
              <w:t>-2017、</w:t>
            </w:r>
            <w:r>
              <w:rPr>
                <w:rFonts w:hint="eastAsia" w:ascii="宋体" w:hAnsi="宋体" w:cs="宋体"/>
                <w:szCs w:val="21"/>
                <w:highlight w:val="none"/>
              </w:rPr>
              <w:t>产品几何技术规范（GPS) 表面结构 轮廓法 表面粗糙度参数及其数值GB/T 1031</w:t>
            </w:r>
            <w:r>
              <w:rPr>
                <w:rFonts w:hint="eastAsia" w:ascii="宋体" w:hAnsi="宋体" w:cs="宋体"/>
                <w:szCs w:val="21"/>
                <w:highlight w:val="none"/>
                <w:lang w:val="en-US" w:eastAsia="zh-CN"/>
              </w:rPr>
              <w:t>-2009</w:t>
            </w:r>
            <w:r>
              <w:rPr>
                <w:rFonts w:hint="eastAsia" w:cs="Times New Roman"/>
                <w:b w:val="0"/>
                <w:bCs/>
                <w:sz w:val="20"/>
                <w:szCs w:val="22"/>
                <w:highlight w:val="none"/>
                <w:lang w:val="en-US" w:eastAsia="zh-CN"/>
              </w:rPr>
              <w:t>等</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2021年1月20日至2021年08月05日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00" w:firstLineChars="200"/>
              <w:rPr>
                <w:rFonts w:hint="eastAsia"/>
                <w:bCs/>
                <w:color w:val="000000" w:themeColor="text1"/>
                <w:sz w:val="20"/>
                <w:szCs w:val="20"/>
              </w:rPr>
            </w:pPr>
            <w:r>
              <w:rPr>
                <w:rFonts w:hint="eastAsia"/>
                <w:bCs/>
                <w:color w:val="000000" w:themeColor="text1"/>
                <w:sz w:val="20"/>
                <w:szCs w:val="20"/>
              </w:rPr>
              <w:t>组织对内外部因素、相关方需求和期望进行了充分的识别，策划和实施有效。组织确定了体系的边界，基本适用。管理体系8.3条款不适用。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00" w:firstLineChars="200"/>
              <w:rPr>
                <w:rFonts w:hint="eastAsia"/>
                <w:bCs/>
                <w:color w:val="000000" w:themeColor="text1"/>
                <w:sz w:val="20"/>
                <w:szCs w:val="20"/>
              </w:rPr>
            </w:pPr>
            <w:r>
              <w:rPr>
                <w:rFonts w:hint="eastAsia"/>
                <w:bCs/>
                <w:color w:val="000000" w:themeColor="text1"/>
                <w:sz w:val="20"/>
                <w:szCs w:val="20"/>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szCs w:val="21"/>
              </w:rPr>
              <w:t xml:space="preserve"> ☑</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ind w:left="-13" w:leftChars="-6" w:firstLine="400" w:firstLineChars="200"/>
              <w:jc w:val="left"/>
              <w:rPr>
                <w:rFonts w:hint="eastAsia"/>
                <w:bCs/>
                <w:color w:val="000000" w:themeColor="text1"/>
                <w:sz w:val="20"/>
                <w:szCs w:val="20"/>
              </w:rPr>
            </w:pPr>
            <w:r>
              <w:rPr>
                <w:rFonts w:hint="eastAsia"/>
                <w:bCs/>
                <w:color w:val="000000" w:themeColor="text1"/>
                <w:sz w:val="20"/>
                <w:szCs w:val="20"/>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spacing w:line="240" w:lineRule="exact"/>
              <w:ind w:firstLine="400" w:firstLineChars="200"/>
              <w:jc w:val="left"/>
              <w:rPr>
                <w:bCs/>
                <w:color w:val="000000" w:themeColor="text1"/>
                <w:sz w:val="20"/>
                <w:szCs w:val="20"/>
              </w:rPr>
            </w:pPr>
            <w:r>
              <w:rPr>
                <w:rFonts w:hint="eastAsia"/>
                <w:bCs/>
                <w:color w:val="000000" w:themeColor="text1"/>
                <w:sz w:val="20"/>
                <w:szCs w:val="20"/>
              </w:rPr>
              <w:t>管理方针：</w:t>
            </w:r>
            <w:r>
              <w:rPr>
                <w:rFonts w:hint="eastAsia" w:ascii="Times New Roman" w:hAnsi="Times New Roman" w:eastAsia="宋体" w:cs="Times New Roman"/>
                <w:kern w:val="2"/>
                <w:sz w:val="21"/>
                <w:szCs w:val="21"/>
                <w:lang w:val="en-US" w:eastAsia="zh-CN" w:bidi="ar-SA"/>
              </w:rPr>
              <w:t>质量为本，信誉第一，服务至上，持续改进</w:t>
            </w:r>
            <w:r>
              <w:rPr>
                <w:rFonts w:hint="eastAsia"/>
                <w:bCs/>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风险识别与控制策划（QMS）</w:t>
            </w:r>
          </w:p>
          <w:p>
            <w:pPr>
              <w:spacing w:line="240" w:lineRule="exact"/>
              <w:rPr>
                <w:rFonts w:hint="eastAsia"/>
                <w:bCs/>
                <w:color w:val="000000" w:themeColor="text1"/>
              </w:rPr>
            </w:pPr>
            <w:r>
              <w:rPr>
                <w:rFonts w:hint="eastAsia"/>
                <w:bCs/>
                <w:color w:val="000000" w:themeColor="text1"/>
                <w:sz w:val="20"/>
                <w:szCs w:val="20"/>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Cs/>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Cs w:val="21"/>
              </w:rPr>
              <w:t xml:space="preserve">电气化铁道及电力用供电器材（金属构件）的生产，接地棒验电器的销售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 xml:space="preserve"> </w:t>
            </w:r>
            <w:r>
              <w:rPr>
                <w:rFonts w:hint="eastAsia" w:ascii="宋体" w:hAnsi="宋体" w:eastAsia="宋体" w:cs="Times New Roman"/>
                <w:szCs w:val="21"/>
                <w:lang w:val="en-US" w:eastAsia="zh-CN"/>
              </w:rPr>
              <w:t>焊接</w:t>
            </w:r>
            <w:r>
              <w:rPr>
                <w:rFonts w:hint="eastAsia" w:ascii="宋体" w:hAnsi="宋体" w:eastAsia="宋体" w:cs="Times New Roman"/>
                <w:szCs w:val="21"/>
              </w:rPr>
              <w:t xml:space="preserve">过程 </w:t>
            </w:r>
          </w:p>
          <w:p>
            <w:pPr>
              <w:tabs>
                <w:tab w:val="left" w:pos="540"/>
              </w:tabs>
              <w:spacing w:line="300" w:lineRule="exact"/>
              <w:ind w:left="201" w:hanging="201" w:hangingChars="100"/>
              <w:rPr>
                <w:rFonts w:hint="eastAsia" w:ascii="宋体" w:hAnsi="宋体" w:eastAsia="宋体" w:cs="Times New Roman"/>
                <w:szCs w:val="21"/>
              </w:rPr>
            </w:pPr>
            <w:r>
              <w:rPr>
                <w:rFonts w:hint="eastAsia" w:ascii="宋体" w:hAnsi="宋体"/>
                <w:b/>
                <w:color w:val="000000" w:themeColor="text1"/>
                <w:sz w:val="20"/>
                <w:szCs w:val="20"/>
              </w:rPr>
              <w:t>需要确认过程：</w:t>
            </w:r>
            <w:r>
              <w:rPr>
                <w:rFonts w:hint="eastAsia" w:ascii="宋体" w:hAnsi="宋体"/>
                <w:b/>
                <w:color w:val="000000" w:themeColor="text1"/>
                <w:sz w:val="20"/>
                <w:szCs w:val="20"/>
                <w:u w:val="single"/>
              </w:rPr>
              <w:t xml:space="preserve"> </w:t>
            </w:r>
            <w:r>
              <w:rPr>
                <w:rFonts w:ascii="宋体" w:hAnsi="宋体"/>
                <w:b/>
                <w:color w:val="000000" w:themeColor="text1"/>
                <w:sz w:val="20"/>
                <w:szCs w:val="20"/>
                <w:u w:val="single"/>
              </w:rPr>
              <w:t xml:space="preserve">  </w:t>
            </w:r>
            <w:r>
              <w:rPr>
                <w:rFonts w:hint="eastAsia" w:ascii="宋体" w:hAnsi="宋体" w:eastAsia="宋体" w:cs="Times New Roman"/>
                <w:szCs w:val="21"/>
              </w:rPr>
              <w:t xml:space="preserve"> </w:t>
            </w:r>
            <w:r>
              <w:rPr>
                <w:rFonts w:hint="eastAsia" w:ascii="宋体" w:hAnsi="宋体" w:eastAsia="宋体" w:cs="Times New Roman"/>
                <w:szCs w:val="21"/>
                <w:lang w:val="en-US" w:eastAsia="zh-CN"/>
              </w:rPr>
              <w:t>焊接过程</w:t>
            </w:r>
            <w:r>
              <w:rPr>
                <w:rFonts w:hint="eastAsia" w:ascii="宋体" w:hAnsi="宋体" w:eastAsia="宋体" w:cs="Times New Roman"/>
                <w:szCs w:val="21"/>
              </w:rPr>
              <w:t xml:space="preserve">     </w:t>
            </w:r>
          </w:p>
          <w:p>
            <w:pPr>
              <w:spacing w:line="400" w:lineRule="exact"/>
              <w:rPr>
                <w:rFonts w:hint="eastAsia" w:ascii="宋体" w:hAnsi="宋体" w:cs="Times New Roman"/>
                <w:color w:val="000000"/>
                <w:szCs w:val="21"/>
                <w:highlight w:val="none"/>
                <w:lang w:val="en-US" w:eastAsia="zh-CN"/>
              </w:rPr>
            </w:pPr>
            <w:r>
              <w:rPr>
                <w:rFonts w:hint="eastAsia" w:ascii="宋体" w:hAnsi="宋体"/>
                <w:b/>
                <w:color w:val="000000" w:themeColor="text1"/>
                <w:sz w:val="20"/>
                <w:szCs w:val="20"/>
              </w:rPr>
              <w:t xml:space="preserve">不适用条款是 </w:t>
            </w:r>
            <w:r>
              <w:rPr>
                <w:rFonts w:hint="eastAsia" w:ascii="宋体" w:hAnsi="宋体"/>
                <w:bCs/>
                <w:color w:val="000000" w:themeColor="text1"/>
                <w:sz w:val="20"/>
                <w:szCs w:val="20"/>
              </w:rPr>
              <w:t xml:space="preserve">  8.3 </w:t>
            </w:r>
            <w:r>
              <w:rPr>
                <w:rFonts w:hint="eastAsia" w:ascii="宋体" w:hAnsi="宋体"/>
                <w:b/>
                <w:color w:val="000000" w:themeColor="text1"/>
                <w:sz w:val="20"/>
                <w:szCs w:val="20"/>
              </w:rPr>
              <w:t xml:space="preserve">    ，不适用理由：</w:t>
            </w:r>
            <w:r>
              <w:rPr>
                <w:rFonts w:hint="eastAsia" w:ascii="宋体" w:hAnsi="宋体" w:cs="Times New Roman"/>
                <w:color w:val="000000"/>
                <w:szCs w:val="21"/>
                <w:highlight w:val="none"/>
                <w:lang w:val="en-US" w:eastAsia="zh-CN"/>
              </w:rPr>
              <w:t>公司</w:t>
            </w:r>
            <w:r>
              <w:rPr>
                <w:rFonts w:hint="eastAsia" w:ascii="宋体" w:hAnsi="宋体"/>
                <w:szCs w:val="21"/>
              </w:rPr>
              <w:t>电气化铁道及电力用供电器材（金属构件）的生产，接地棒验电器的销售</w:t>
            </w:r>
            <w:r>
              <w:rPr>
                <w:rFonts w:hint="eastAsia" w:ascii="宋体" w:hAnsi="宋体"/>
                <w:szCs w:val="21"/>
                <w:lang w:eastAsia="zh-CN"/>
              </w:rPr>
              <w:t>，</w:t>
            </w:r>
            <w:r>
              <w:rPr>
                <w:rFonts w:hint="eastAsia" w:ascii="宋体" w:hAnsi="宋体"/>
                <w:szCs w:val="21"/>
                <w:lang w:val="en-US" w:eastAsia="zh-CN"/>
              </w:rPr>
              <w:t>按照客户要求进及</w:t>
            </w:r>
            <w:r>
              <w:rPr>
                <w:rFonts w:hint="eastAsia" w:ascii="宋体" w:hAnsi="宋体" w:cs="Times New Roman"/>
                <w:color w:val="000000"/>
                <w:szCs w:val="21"/>
                <w:highlight w:val="none"/>
                <w:lang w:val="en-US" w:eastAsia="zh-CN"/>
              </w:rPr>
              <w:t>国家的相关标准进行，不涉及设计和开发项目。不适用该条款后，不影响公司提供满足顾客和适用的法律法规要求的服务的能力，也不免除公司相应的责任，也仍然保持了质量管理体系的完整性。因此，ISO9001：2015标准中的“8.3产品和服务的设计和开发”的要求不适用合理。</w:t>
            </w:r>
          </w:p>
          <w:p>
            <w:pPr>
              <w:tabs>
                <w:tab w:val="left" w:pos="540"/>
              </w:tabs>
              <w:spacing w:line="300" w:lineRule="exact"/>
              <w:ind w:left="201" w:hanging="201" w:hangingChars="100"/>
              <w:rPr>
                <w:rFonts w:ascii="宋体" w:hAnsi="宋体"/>
                <w:b/>
                <w:color w:val="000000" w:themeColor="text1"/>
                <w:szCs w:val="21"/>
              </w:rPr>
            </w:pP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szCs w:val="21"/>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szCs w:val="21"/>
              </w:rPr>
              <w:t>☑</w:t>
            </w:r>
            <w:r>
              <w:rPr>
                <w:rFonts w:hint="eastAsia" w:ascii="宋体" w:hAnsi="宋体"/>
                <w:b/>
                <w:color w:val="000000" w:themeColor="text1"/>
                <w:szCs w:val="21"/>
              </w:rPr>
              <w:t>产品/服务□环境因素□危险源，</w:t>
            </w:r>
            <w:r>
              <w:rPr>
                <w:rFonts w:hint="eastAsia" w:ascii="宋体" w:hAnsi="宋体"/>
                <w:szCs w:val="21"/>
              </w:rPr>
              <w:t>☑</w:t>
            </w:r>
            <w:r>
              <w:rPr>
                <w:rFonts w:hint="eastAsia" w:ascii="宋体" w:hAnsi="宋体"/>
                <w:b/>
                <w:color w:val="000000" w:themeColor="text1"/>
                <w:szCs w:val="21"/>
              </w:rPr>
              <w:t>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Cs/>
                <w:color w:val="000000" w:themeColor="text1"/>
                <w:szCs w:val="21"/>
              </w:rPr>
              <w:t>培训、会议、标语</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ind w:firstLine="210" w:firstLineChars="100"/>
              <w:rPr>
                <w:rFonts w:hint="eastAsia" w:ascii="宋体" w:hAnsi="宋体" w:eastAsia="宋体" w:cs="Times New Roman"/>
                <w:bCs/>
                <w:color w:val="000000" w:themeColor="text1"/>
              </w:rPr>
            </w:pPr>
            <w:r>
              <w:rPr>
                <w:rFonts w:hint="eastAsia" w:ascii="宋体" w:hAnsi="宋体"/>
                <w:bCs/>
                <w:color w:val="000000" w:themeColor="text1"/>
              </w:rPr>
              <w:t>公司制定、发布了总体目标并分解到相关职能部门和层次，规定了目标值、计算方法、责任部门、检查人、考核频次等。同时，质量目标得到沟通和监视评价，通过数据的汇总统计、描述性统计等方法对目标进</w:t>
            </w:r>
            <w:r>
              <w:rPr>
                <w:rFonts w:hint="eastAsia" w:ascii="宋体" w:hAnsi="宋体" w:eastAsia="宋体" w:cs="Times New Roman"/>
                <w:bCs/>
                <w:color w:val="000000" w:themeColor="text1"/>
              </w:rPr>
              <w:t>行了测量，总体已达到或超过了规定的目标值。</w:t>
            </w:r>
          </w:p>
          <w:p>
            <w:pPr>
              <w:spacing w:line="240" w:lineRule="exact"/>
              <w:ind w:firstLine="210" w:firstLineChars="100"/>
              <w:rPr>
                <w:rFonts w:hint="eastAsia" w:ascii="宋体" w:hAnsi="宋体" w:eastAsia="宋体" w:cs="Times New Roman"/>
                <w:bCs/>
                <w:color w:val="000000" w:themeColor="text1"/>
              </w:rPr>
            </w:pPr>
          </w:p>
          <w:p>
            <w:pPr>
              <w:spacing w:line="240" w:lineRule="exact"/>
              <w:ind w:firstLine="210" w:firstLineChars="100"/>
              <w:rPr>
                <w:rFonts w:hint="eastAsia" w:ascii="宋体" w:hAnsi="宋体" w:eastAsia="宋体" w:cs="Times New Roman"/>
                <w:bCs/>
                <w:color w:val="000000" w:themeColor="text1"/>
              </w:rPr>
            </w:pPr>
            <w:r>
              <w:rPr>
                <w:rFonts w:hint="eastAsia" w:ascii="宋体" w:hAnsi="宋体" w:eastAsia="宋体" w:cs="Times New Roman"/>
                <w:bCs/>
                <w:color w:val="000000" w:themeColor="text1"/>
              </w:rPr>
              <w:t xml:space="preserve">质量目标： </w:t>
            </w:r>
          </w:p>
          <w:p>
            <w:pPr>
              <w:spacing w:line="240" w:lineRule="exact"/>
              <w:ind w:firstLine="210" w:firstLineChars="100"/>
              <w:rPr>
                <w:rFonts w:hint="eastAsia" w:ascii="宋体" w:hAnsi="宋体" w:eastAsia="宋体" w:cs="Times New Roman"/>
                <w:bCs/>
                <w:color w:val="000000" w:themeColor="text1"/>
                <w:lang w:val="en-US" w:eastAsia="zh-CN"/>
              </w:rPr>
            </w:pPr>
            <w:r>
              <w:rPr>
                <w:rFonts w:hint="eastAsia" w:ascii="宋体" w:hAnsi="宋体" w:eastAsia="宋体" w:cs="Times New Roman"/>
                <w:bCs/>
                <w:color w:val="000000" w:themeColor="text1"/>
                <w:lang w:val="en-US" w:eastAsia="zh-CN"/>
              </w:rPr>
              <w:t>1. 产品一次合格率达95%以上；</w:t>
            </w:r>
          </w:p>
          <w:p>
            <w:pPr>
              <w:spacing w:line="240" w:lineRule="exact"/>
              <w:ind w:firstLine="210" w:firstLineChars="100"/>
              <w:rPr>
                <w:rFonts w:hint="eastAsia" w:ascii="宋体" w:hAnsi="宋体" w:eastAsia="宋体" w:cs="Times New Roman"/>
                <w:bCs/>
                <w:color w:val="000000" w:themeColor="text1"/>
                <w:lang w:val="en-US" w:eastAsia="zh-CN"/>
              </w:rPr>
            </w:pPr>
            <w:r>
              <w:rPr>
                <w:rFonts w:hint="eastAsia" w:ascii="宋体" w:hAnsi="宋体" w:eastAsia="宋体" w:cs="Times New Roman"/>
                <w:bCs/>
                <w:color w:val="000000" w:themeColor="text1"/>
                <w:lang w:val="en-US" w:eastAsia="zh-CN"/>
              </w:rPr>
              <w:t>2. 产品出厂合格率达到100%；</w:t>
            </w:r>
          </w:p>
          <w:p>
            <w:pPr>
              <w:spacing w:line="240" w:lineRule="exact"/>
              <w:ind w:firstLine="210" w:firstLineChars="100"/>
              <w:rPr>
                <w:rFonts w:hint="eastAsia" w:ascii="宋体" w:hAnsi="宋体"/>
                <w:bCs/>
                <w:color w:val="000000" w:themeColor="text1"/>
              </w:rPr>
            </w:pPr>
            <w:r>
              <w:rPr>
                <w:rFonts w:hint="eastAsia" w:ascii="宋体" w:hAnsi="宋体" w:eastAsia="宋体" w:cs="Times New Roman"/>
                <w:bCs/>
                <w:color w:val="000000" w:themeColor="text1"/>
                <w:lang w:val="en-US" w:eastAsia="zh-CN"/>
              </w:rPr>
              <w:t>3. 顾客满意率达90%以上。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00" w:firstLineChars="200"/>
              <w:rPr>
                <w:rFonts w:ascii="宋体" w:hAnsi="宋体"/>
                <w:b/>
                <w:color w:val="000000" w:themeColor="text1"/>
                <w:sz w:val="20"/>
                <w:szCs w:val="20"/>
              </w:rPr>
            </w:pPr>
            <w:r>
              <w:rPr>
                <w:rFonts w:hint="eastAsia" w:ascii="宋体" w:hAnsi="宋体"/>
                <w:bCs/>
                <w:color w:val="000000" w:themeColor="text1"/>
                <w:sz w:val="20"/>
                <w:szCs w:val="20"/>
              </w:rPr>
              <w:t>公司按照申请认证的标准要求，建立并形成了文件化的质量管理体系文件，体系文件对管理体系各过程进行了识别确定、明确了各要素间的相互关系及其管控要求。公司体系文件于202</w:t>
            </w:r>
            <w:r>
              <w:rPr>
                <w:rFonts w:hint="eastAsia" w:ascii="宋体" w:hAnsi="宋体"/>
                <w:bCs/>
                <w:color w:val="000000" w:themeColor="text1"/>
                <w:sz w:val="20"/>
                <w:szCs w:val="20"/>
                <w:lang w:val="en-US" w:eastAsia="zh-CN"/>
              </w:rPr>
              <w:t>1</w:t>
            </w:r>
            <w:r>
              <w:rPr>
                <w:rFonts w:hint="eastAsia" w:ascii="宋体" w:hAnsi="宋体"/>
                <w:bCs/>
                <w:color w:val="000000" w:themeColor="text1"/>
                <w:sz w:val="20"/>
                <w:szCs w:val="20"/>
              </w:rPr>
              <w:t>年1月</w:t>
            </w:r>
            <w:r>
              <w:rPr>
                <w:rFonts w:hint="eastAsia" w:ascii="宋体" w:hAnsi="宋体"/>
                <w:bCs/>
                <w:color w:val="000000" w:themeColor="text1"/>
                <w:sz w:val="20"/>
                <w:szCs w:val="20"/>
                <w:lang w:val="en-US" w:eastAsia="zh-CN"/>
              </w:rPr>
              <w:t>20</w:t>
            </w:r>
            <w:r>
              <w:rPr>
                <w:rFonts w:hint="eastAsia" w:ascii="宋体" w:hAnsi="宋体"/>
                <w:bCs/>
                <w:color w:val="000000" w:themeColor="text1"/>
                <w:sz w:val="20"/>
                <w:szCs w:val="20"/>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ind w:firstLine="400" w:firstLineChars="200"/>
              <w:rPr>
                <w:rFonts w:hint="eastAsia" w:ascii="宋体" w:hAnsi="宋体"/>
                <w:bCs/>
                <w:color w:val="000000" w:themeColor="text1"/>
                <w:sz w:val="20"/>
                <w:szCs w:val="20"/>
              </w:rPr>
            </w:pPr>
            <w:r>
              <w:rPr>
                <w:rFonts w:hint="eastAsia" w:ascii="宋体" w:hAnsi="宋体"/>
                <w:bCs/>
                <w:color w:val="000000" w:themeColor="text1"/>
                <w:sz w:val="20"/>
                <w:szCs w:val="20"/>
              </w:rPr>
              <w:t>组织按管理体系需求配置了充足的人员、设施、监视和测量设备等资源，并建立维持了产品的生产及相关服务运行环境，可以维持管理体系的正常运行。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color w:val="000000" w:themeColor="text1"/>
                <w:sz w:val="20"/>
                <w:szCs w:val="20"/>
              </w:rPr>
              <w:t>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设备设施（包括信息系统）</w:t>
            </w:r>
          </w:p>
          <w:p>
            <w:pPr>
              <w:spacing w:line="40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lang w:val="en-US" w:eastAsia="zh-CN"/>
              </w:rPr>
              <w:t xml:space="preserve">   </w:t>
            </w:r>
            <w:r>
              <w:rPr>
                <w:rFonts w:hint="eastAsia" w:ascii="宋体" w:hAnsi="宋体" w:eastAsia="宋体" w:cs="Times New Roman"/>
                <w:bCs/>
                <w:color w:val="000000" w:themeColor="text1"/>
                <w:sz w:val="20"/>
                <w:szCs w:val="20"/>
                <w:lang w:val="en-US" w:eastAsia="zh-CN"/>
              </w:rPr>
              <w:t>公司厂房面积 2.8亩，办公楼及住宿楼面积0.9亩，主要生</w:t>
            </w:r>
            <w:r>
              <w:rPr>
                <w:rFonts w:hint="eastAsia" w:ascii="宋体" w:hAnsi="宋体" w:eastAsia="宋体" w:cs="Times New Roman"/>
                <w:bCs/>
                <w:color w:val="000000" w:themeColor="text1"/>
                <w:sz w:val="20"/>
                <w:szCs w:val="20"/>
                <w:lang w:val="en-US" w:eastAsia="zh-CN"/>
              </w:rPr>
              <w:t>产设备包括：加工中心、摇臂钻床、台式钻床、数控机床、轻型台式砂轮机、方柱立式钻床、金属带锯床、电焊机等等。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00" w:firstLineChars="200"/>
              <w:rPr>
                <w:rFonts w:ascii="宋体" w:hAnsi="宋体"/>
                <w:bCs/>
                <w:color w:val="000000" w:themeColor="text1"/>
                <w:sz w:val="20"/>
                <w:szCs w:val="20"/>
              </w:rPr>
            </w:pPr>
            <w:r>
              <w:rPr>
                <w:rFonts w:hint="eastAsia" w:ascii="宋体" w:hAnsi="宋体"/>
                <w:bCs/>
                <w:color w:val="000000" w:themeColor="text1"/>
                <w:sz w:val="20"/>
                <w:szCs w:val="20"/>
              </w:rPr>
              <w:t>车间内设备布置合理，通道畅通，照明设施齐全，均配备了消防设施等设施。办公室明亮，作业场所光线较充足。每月由生产技术部对工作环境进行定期检查。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监视和测量资源</w:t>
            </w:r>
          </w:p>
          <w:p>
            <w:pPr>
              <w:spacing w:line="240" w:lineRule="exact"/>
              <w:rPr>
                <w:rFonts w:hint="default" w:ascii="宋体" w:hAnsi="宋体" w:eastAsia="宋体"/>
                <w:b/>
                <w:color w:val="000000" w:themeColor="text1"/>
                <w:sz w:val="20"/>
                <w:szCs w:val="20"/>
                <w:highlight w:val="none"/>
                <w:lang w:val="en-US" w:eastAsia="zh-CN"/>
              </w:rPr>
            </w:pPr>
            <w:r>
              <w:rPr>
                <w:rFonts w:hint="eastAsia" w:ascii="宋体" w:hAnsi="宋体"/>
                <w:b/>
                <w:color w:val="000000" w:themeColor="text1"/>
                <w:sz w:val="20"/>
                <w:szCs w:val="20"/>
                <w:highlight w:val="none"/>
                <w:lang w:val="en-US" w:eastAsia="zh-CN"/>
              </w:rPr>
              <w:t xml:space="preserve">  </w:t>
            </w:r>
            <w:r>
              <w:rPr>
                <w:rFonts w:hint="eastAsia"/>
                <w:highlight w:val="none"/>
                <w:lang w:val="en-US" w:eastAsia="zh-CN"/>
              </w:rPr>
              <w:t>钢卷尺、表面粗糙度比较样板、量块、指针式指示表、刀口形直角尺、深标深度卡尺、游标卡尺、内径千分尺等，能提供在用检具的校准证书，详见附件。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ind w:firstLine="400" w:firstLineChars="200"/>
              <w:rPr>
                <w:rFonts w:hint="eastAsia" w:ascii="宋体" w:hAnsi="宋体"/>
                <w:bCs/>
                <w:color w:val="000000" w:themeColor="text1"/>
                <w:sz w:val="20"/>
                <w:szCs w:val="20"/>
              </w:rPr>
            </w:pPr>
            <w:r>
              <w:rPr>
                <w:rFonts w:hint="eastAsia" w:ascii="宋体" w:hAnsi="宋体"/>
                <w:bCs/>
                <w:color w:val="000000" w:themeColor="text1"/>
                <w:sz w:val="20"/>
                <w:szCs w:val="20"/>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bCs/>
                <w:color w:val="000000" w:themeColor="text1"/>
                <w:sz w:val="20"/>
                <w:szCs w:val="20"/>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rFonts w:hint="eastAsia"/>
                <w:bCs/>
                <w:color w:val="000000" w:themeColor="text1"/>
                <w:sz w:val="20"/>
                <w:szCs w:val="20"/>
              </w:rPr>
            </w:pPr>
            <w:r>
              <w:rPr>
                <w:rFonts w:hint="eastAsia"/>
                <w:bCs/>
                <w:color w:val="000000" w:themeColor="text1"/>
                <w:sz w:val="20"/>
                <w:szCs w:val="20"/>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Cs/>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楷体_GB2312" w:eastAsia="楷体_GB2312"/>
                <w:bCs/>
                <w:color w:val="000000" w:themeColor="text1"/>
                <w:sz w:val="20"/>
                <w:szCs w:val="20"/>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楷体_GB2312" w:eastAsia="楷体_GB2312"/>
                <w:bCs/>
                <w:color w:val="000000" w:themeColor="text1"/>
                <w:sz w:val="20"/>
                <w:szCs w:val="20"/>
              </w:rPr>
              <w:t>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楷体_GB2312" w:eastAsia="楷体_GB2312"/>
                <w:bCs/>
                <w:color w:val="000000" w:themeColor="text1"/>
                <w:sz w:val="20"/>
                <w:szCs w:val="20"/>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00" w:firstLineChars="200"/>
              <w:rPr>
                <w:bCs/>
                <w:color w:val="000000" w:themeColor="text1"/>
                <w:sz w:val="20"/>
                <w:szCs w:val="20"/>
              </w:rPr>
            </w:pPr>
            <w:r>
              <w:rPr>
                <w:rFonts w:hint="eastAsia"/>
                <w:bCs/>
                <w:color w:val="000000" w:themeColor="text1"/>
                <w:sz w:val="20"/>
                <w:szCs w:val="20"/>
              </w:rPr>
              <w:t>公司在体系文件中，规定了公司各管理层次（如生产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0" w:firstLineChars="100"/>
              <w:rPr>
                <w:rFonts w:hint="eastAsia" w:ascii="Times New Roman" w:hAnsi="Times New Roman" w:eastAsia="宋体" w:cs="Times New Roman"/>
                <w:bCs/>
                <w:color w:val="000000" w:themeColor="text1"/>
                <w:sz w:val="20"/>
                <w:szCs w:val="20"/>
              </w:rPr>
            </w:pPr>
            <w:r>
              <w:rPr>
                <w:rFonts w:hint="eastAsia"/>
                <w:bCs/>
                <w:color w:val="000000" w:themeColor="text1"/>
                <w:sz w:val="20"/>
                <w:szCs w:val="20"/>
              </w:rPr>
              <w:t>制定并实施了产品检验控制规定，规定了公司各管理层次和品质检测部门在各阶段对产品服务质量实施检查与验</w:t>
            </w:r>
            <w:r>
              <w:rPr>
                <w:rFonts w:hint="eastAsia" w:ascii="Times New Roman" w:hAnsi="Times New Roman" w:eastAsia="宋体" w:cs="Times New Roman"/>
                <w:bCs/>
                <w:color w:val="000000" w:themeColor="text1"/>
                <w:sz w:val="20"/>
                <w:szCs w:val="20"/>
              </w:rPr>
              <w:t>收的管理要求。内容基本具备全面性、系统性及可操作性。质量检查与验收均在出厂前予以实现，范围包括：过程、最终产品。以此保证持续向顾客稳定提供稳定合格的产品。</w:t>
            </w:r>
          </w:p>
          <w:p>
            <w:pPr>
              <w:spacing w:line="240" w:lineRule="exact"/>
              <w:ind w:firstLine="200" w:firstLineChars="100"/>
              <w:rPr>
                <w:b/>
                <w:color w:val="000000" w:themeColor="text1"/>
                <w:sz w:val="20"/>
                <w:szCs w:val="20"/>
              </w:rPr>
            </w:pPr>
            <w:r>
              <w:rPr>
                <w:rFonts w:hint="eastAsia" w:ascii="Times New Roman" w:hAnsi="Times New Roman" w:eastAsia="宋体" w:cs="Times New Roman"/>
                <w:bCs/>
                <w:color w:val="000000" w:themeColor="text1"/>
                <w:sz w:val="20"/>
                <w:szCs w:val="20"/>
                <w:lang w:val="en-US" w:eastAsia="zh-CN"/>
              </w:rPr>
              <w:t>提供第三方出具的检验报告。</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r>
              <w:rPr>
                <w:rFonts w:hint="eastAsia"/>
                <w:bCs/>
                <w:color w:val="000000" w:themeColor="text1"/>
                <w:sz w:val="20"/>
                <w:szCs w:val="20"/>
              </w:rPr>
              <w:t>验收规范、验收记录等</w:t>
            </w: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00" w:firstLineChars="200"/>
              <w:rPr>
                <w:bCs/>
                <w:color w:val="000000" w:themeColor="text1"/>
                <w:sz w:val="20"/>
                <w:szCs w:val="20"/>
              </w:rPr>
            </w:pPr>
            <w:r>
              <w:rPr>
                <w:rFonts w:hint="eastAsia"/>
                <w:bCs/>
                <w:color w:val="000000" w:themeColor="text1"/>
                <w:sz w:val="20"/>
                <w:szCs w:val="20"/>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3"/>
              </w:numPr>
              <w:spacing w:line="240" w:lineRule="exact"/>
              <w:rPr>
                <w:rFonts w:hint="eastAsia"/>
                <w:b/>
                <w:color w:val="000000" w:themeColor="text1"/>
                <w:sz w:val="20"/>
                <w:szCs w:val="20"/>
              </w:rPr>
            </w:pPr>
            <w:r>
              <w:rPr>
                <w:rFonts w:hint="eastAsia"/>
                <w:b/>
                <w:color w:val="000000" w:themeColor="text1"/>
                <w:sz w:val="20"/>
                <w:szCs w:val="20"/>
              </w:rPr>
              <w:t>OHSMS组织对不可接受风险实施控制的结果</w:t>
            </w:r>
          </w:p>
          <w:p>
            <w:pPr>
              <w:numPr>
                <w:ilvl w:val="0"/>
                <w:numId w:val="0"/>
              </w:num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eastAsia="宋体"/>
                <w:b/>
                <w:color w:val="000000" w:themeColor="text1"/>
                <w:spacing w:val="-4"/>
                <w:sz w:val="20"/>
                <w:szCs w:val="20"/>
                <w:lang w:val="en-US" w:eastAsia="zh-CN"/>
              </w:rPr>
            </w:pPr>
            <w:r>
              <w:rPr>
                <w:rFonts w:hint="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提供压力表、安全阀的检定证书。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eastAsia="宋体"/>
                <w:b/>
                <w:color w:val="000000" w:themeColor="text1"/>
                <w:sz w:val="20"/>
                <w:szCs w:val="20"/>
                <w:lang w:val="en-US" w:eastAsia="zh-CN"/>
              </w:rPr>
            </w:pPr>
            <w:r>
              <w:rPr>
                <w:rFonts w:hint="eastAsia"/>
                <w:b/>
                <w:color w:val="000000" w:themeColor="text1"/>
                <w:sz w:val="20"/>
                <w:szCs w:val="20"/>
              </w:rPr>
              <w:t>11 .对危险化学品销售、使用、储存、运输处置，规定的执行力度(必要时);</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300" w:firstLineChars="150"/>
              <w:rPr>
                <w:bCs/>
                <w:color w:val="000000" w:themeColor="text1"/>
                <w:sz w:val="20"/>
                <w:szCs w:val="20"/>
              </w:rPr>
            </w:pPr>
            <w:r>
              <w:rPr>
                <w:rFonts w:hint="eastAsia"/>
                <w:bCs/>
                <w:color w:val="000000" w:themeColor="text1"/>
                <w:sz w:val="20"/>
                <w:szCs w:val="20"/>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bCs/>
                <w:color w:val="000000" w:themeColor="text1"/>
                <w:sz w:val="20"/>
                <w:szCs w:val="20"/>
                <w:lang w:val="en-US" w:eastAsia="zh-CN"/>
              </w:rPr>
              <w:t>2021年1月-7月</w:t>
            </w:r>
            <w:r>
              <w:rPr>
                <w:rFonts w:hint="eastAsia"/>
                <w:bCs/>
                <w:color w:val="000000" w:themeColor="text1"/>
                <w:sz w:val="20"/>
                <w:szCs w:val="20"/>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85" w:leftChars="88" w:firstLine="186" w:firstLineChars="93"/>
              <w:rPr>
                <w:rFonts w:hint="eastAsia"/>
                <w:bCs/>
                <w:color w:val="000000" w:themeColor="text1"/>
                <w:sz w:val="20"/>
                <w:szCs w:val="20"/>
              </w:rPr>
            </w:pPr>
            <w:r>
              <w:rPr>
                <w:rFonts w:hint="eastAsia"/>
                <w:bCs/>
                <w:color w:val="000000" w:themeColor="text1"/>
                <w:sz w:val="20"/>
                <w:szCs w:val="20"/>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2021年</w:t>
            </w:r>
            <w:r>
              <w:rPr>
                <w:rFonts w:hint="eastAsia"/>
                <w:bCs/>
                <w:color w:val="000000" w:themeColor="text1"/>
                <w:sz w:val="20"/>
                <w:szCs w:val="20"/>
                <w:lang w:val="en-US" w:eastAsia="zh-CN"/>
              </w:rPr>
              <w:t>5</w:t>
            </w:r>
            <w:r>
              <w:rPr>
                <w:rFonts w:hint="eastAsia"/>
                <w:bCs/>
                <w:color w:val="000000" w:themeColor="text1"/>
                <w:sz w:val="20"/>
                <w:szCs w:val="20"/>
              </w:rPr>
              <w:t>月实施，满意度评价98%，总体实现了顾客满意度的质量目标要求。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ind w:firstLine="400" w:firstLineChars="200"/>
              <w:rPr>
                <w:bCs/>
                <w:color w:val="000000" w:themeColor="text1"/>
                <w:sz w:val="20"/>
                <w:szCs w:val="20"/>
              </w:rPr>
            </w:pPr>
            <w:r>
              <w:rPr>
                <w:rFonts w:hint="eastAsia"/>
                <w:bCs/>
                <w:color w:val="000000" w:themeColor="text1"/>
                <w:sz w:val="20"/>
                <w:szCs w:val="20"/>
              </w:rPr>
              <w:t>建立有《内部审核控制程序》，规定了内审频次一年一次，内审时间：2021年</w:t>
            </w:r>
            <w:r>
              <w:rPr>
                <w:rFonts w:hint="eastAsia"/>
                <w:bCs/>
                <w:color w:val="000000" w:themeColor="text1"/>
                <w:sz w:val="20"/>
                <w:szCs w:val="20"/>
                <w:lang w:val="en-US" w:eastAsia="zh-CN"/>
              </w:rPr>
              <w:t>6</w:t>
            </w:r>
            <w:r>
              <w:rPr>
                <w:rFonts w:hint="eastAsia"/>
                <w:bCs/>
                <w:color w:val="000000" w:themeColor="text1"/>
                <w:sz w:val="20"/>
                <w:szCs w:val="20"/>
              </w:rPr>
              <w:t>月</w:t>
            </w:r>
            <w:r>
              <w:rPr>
                <w:rFonts w:hint="eastAsia"/>
                <w:bCs/>
                <w:color w:val="000000" w:themeColor="text1"/>
                <w:sz w:val="20"/>
                <w:szCs w:val="20"/>
                <w:lang w:val="en-US" w:eastAsia="zh-CN"/>
              </w:rPr>
              <w:t>20</w:t>
            </w:r>
            <w:r>
              <w:rPr>
                <w:rFonts w:hint="eastAsia"/>
                <w:bCs/>
                <w:color w:val="000000" w:themeColor="text1"/>
                <w:sz w:val="20"/>
                <w:szCs w:val="20"/>
              </w:rPr>
              <w:t>日，拟定了审核实施表，明确了内审范围，内审人员经培训合格上岗，能力满足要求，未出现审核本部门情况，内审不符合项1项， 涉及</w:t>
            </w:r>
            <w:r>
              <w:rPr>
                <w:rFonts w:hint="eastAsia" w:ascii="宋体" w:hAnsi="宋体" w:eastAsia="宋体" w:cs="Times New Roman"/>
                <w:szCs w:val="21"/>
                <w:lang w:val="en-US" w:eastAsia="zh-CN"/>
              </w:rPr>
              <w:t>市场部</w:t>
            </w:r>
            <w:r>
              <w:rPr>
                <w:rFonts w:hint="eastAsia" w:ascii="宋体" w:hAnsi="宋体" w:eastAsia="宋体" w:cs="Times New Roman"/>
                <w:szCs w:val="21"/>
              </w:rPr>
              <w:t>不符合标准</w:t>
            </w:r>
            <w:r>
              <w:rPr>
                <w:rFonts w:hint="eastAsia" w:ascii="宋体" w:hAnsi="宋体" w:eastAsia="宋体" w:cs="Times New Roman"/>
                <w:szCs w:val="21"/>
                <w:lang w:val="en-US" w:eastAsia="zh-CN"/>
              </w:rPr>
              <w:t>8.2.3</w:t>
            </w:r>
            <w:r>
              <w:rPr>
                <w:rFonts w:hint="eastAsia" w:ascii="宋体" w:hAnsi="宋体" w:eastAsia="宋体" w:cs="Times New Roman"/>
                <w:szCs w:val="21"/>
              </w:rPr>
              <w:t>条款，查</w:t>
            </w:r>
            <w:r>
              <w:rPr>
                <w:rFonts w:hint="eastAsia" w:ascii="宋体" w:hAnsi="宋体" w:eastAsia="宋体" w:cs="Times New Roman"/>
                <w:szCs w:val="21"/>
                <w:lang w:eastAsia="zh-CN"/>
              </w:rPr>
              <w:t>市场部对顾客方的评审，未见相关评审的证据</w:t>
            </w:r>
            <w:r>
              <w:rPr>
                <w:rFonts w:hint="eastAsia"/>
                <w:bCs/>
                <w:color w:val="000000" w:themeColor="text1"/>
                <w:sz w:val="20"/>
                <w:szCs w:val="20"/>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200" w:firstLineChars="100"/>
              <w:rPr>
                <w:bCs/>
                <w:color w:val="000000" w:themeColor="text1"/>
                <w:sz w:val="20"/>
                <w:szCs w:val="20"/>
              </w:rPr>
            </w:pPr>
            <w:r>
              <w:rPr>
                <w:rFonts w:hint="eastAsia"/>
                <w:bCs/>
                <w:color w:val="000000" w:themeColor="text1"/>
                <w:sz w:val="20"/>
                <w:szCs w:val="20"/>
              </w:rPr>
              <w:t>管理评审频次为一年一次、本次管理评审于2021年</w:t>
            </w:r>
            <w:r>
              <w:rPr>
                <w:rFonts w:hint="eastAsia"/>
                <w:bCs/>
                <w:color w:val="000000" w:themeColor="text1"/>
                <w:sz w:val="20"/>
                <w:szCs w:val="20"/>
                <w:lang w:val="en-US" w:eastAsia="zh-CN"/>
              </w:rPr>
              <w:t>6</w:t>
            </w:r>
            <w:r>
              <w:rPr>
                <w:rFonts w:hint="eastAsia"/>
                <w:bCs/>
                <w:color w:val="000000" w:themeColor="text1"/>
                <w:sz w:val="20"/>
                <w:szCs w:val="20"/>
              </w:rPr>
              <w:t>月</w:t>
            </w:r>
            <w:r>
              <w:rPr>
                <w:rFonts w:hint="eastAsia"/>
                <w:bCs/>
                <w:color w:val="000000" w:themeColor="text1"/>
                <w:sz w:val="20"/>
                <w:szCs w:val="20"/>
                <w:lang w:val="en-US" w:eastAsia="zh-CN"/>
              </w:rPr>
              <w:t>30</w:t>
            </w:r>
            <w:r>
              <w:rPr>
                <w:rFonts w:hint="eastAsia"/>
                <w:bCs/>
                <w:color w:val="000000" w:themeColor="text1"/>
                <w:sz w:val="20"/>
                <w:szCs w:val="20"/>
              </w:rPr>
              <w:t>日由总经理主持完成、提供主要输入材料有各部门总结，输入信息基本充分和满足要求。输出见“管理评审报告”, 做出了管理体系基本适宜、充分和有效的评审结论。管理评审的输出不明确具体，需要改善。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4"/>
              </w:numPr>
              <w:spacing w:line="240" w:lineRule="exact"/>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numPr>
                <w:ilvl w:val="0"/>
                <w:numId w:val="0"/>
              </w:num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numPr>
                <w:ilvl w:val="0"/>
                <w:numId w:val="3"/>
              </w:numPr>
              <w:spacing w:line="240" w:lineRule="exact"/>
              <w:ind w:left="0" w:leftChars="0" w:firstLine="0" w:firstLineChars="0"/>
              <w:rPr>
                <w:rFonts w:hint="eastAsia"/>
                <w:b/>
                <w:color w:val="000000" w:themeColor="text1"/>
                <w:sz w:val="20"/>
                <w:szCs w:val="20"/>
              </w:rPr>
            </w:pPr>
            <w:r>
              <w:rPr>
                <w:rFonts w:hint="eastAsia"/>
                <w:b/>
                <w:color w:val="000000" w:themeColor="text1"/>
                <w:sz w:val="20"/>
                <w:szCs w:val="20"/>
              </w:rPr>
              <w:t>其他能够标明组织绩效、信誉的证据/信息：</w:t>
            </w:r>
          </w:p>
          <w:p>
            <w:pPr>
              <w:widowControl/>
              <w:numPr>
                <w:ilvl w:val="0"/>
                <w:numId w:val="0"/>
              </w:numPr>
              <w:spacing w:line="240" w:lineRule="exact"/>
              <w:ind w:leftChars="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ind w:firstLine="400" w:firstLineChars="200"/>
              <w:rPr>
                <w:bCs/>
                <w:color w:val="000000" w:themeColor="text1"/>
                <w:sz w:val="20"/>
                <w:szCs w:val="20"/>
              </w:rPr>
            </w:pPr>
            <w:r>
              <w:rPr>
                <w:rFonts w:hint="eastAsia"/>
                <w:bCs/>
                <w:color w:val="000000" w:themeColor="text1"/>
                <w:sz w:val="20"/>
                <w:szCs w:val="20"/>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r>
              <w:rPr>
                <w:rFonts w:hint="eastAsia"/>
                <w:bCs/>
                <w:color w:val="000000" w:themeColor="text1"/>
                <w:spacing w:val="-20"/>
                <w:sz w:val="20"/>
                <w:szCs w:val="20"/>
              </w:rPr>
              <w:t>无</w:t>
            </w:r>
          </w:p>
          <w:p>
            <w:pPr>
              <w:spacing w:line="240" w:lineRule="exact"/>
              <w:rPr>
                <w:b/>
                <w:color w:val="000000" w:themeColor="text1"/>
                <w:spacing w:val="-20"/>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Cs/>
                <w:color w:val="000000" w:themeColor="text1"/>
                <w:spacing w:val="-20"/>
                <w:sz w:val="20"/>
                <w:szCs w:val="20"/>
              </w:rPr>
            </w:pPr>
            <w:r>
              <w:rPr>
                <w:rFonts w:hint="eastAsia"/>
                <w:bCs/>
                <w:color w:val="000000" w:themeColor="text1"/>
                <w:spacing w:val="-20"/>
                <w:sz w:val="20"/>
                <w:szCs w:val="20"/>
              </w:rPr>
              <w:t>一阶段审核不符合情况：经验证未出现类视情况。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szCs w:val="21"/>
              </w:rPr>
              <w:t xml:space="preserve">电气化铁道及电力用供电器材（金属构件）的生产，接地棒验电器的销售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rFonts w:hint="eastAsia" w:ascii="方正仿宋简体" w:eastAsia="方正仿宋简体"/>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pStyle w:val="2"/>
        <w:rPr>
          <w:rFonts w:hint="eastAsia" w:ascii="方正仿宋简体" w:eastAsia="方正仿宋简体"/>
          <w:b/>
          <w:color w:val="000000" w:themeColor="text1"/>
        </w:rPr>
      </w:pPr>
    </w:p>
    <w:p>
      <w:pPr>
        <w:pStyle w:val="2"/>
        <w:rPr>
          <w:rFonts w:hint="eastAsia" w:ascii="方正仿宋简体" w:eastAsia="方正仿宋简体"/>
          <w:b/>
          <w:color w:val="000000" w:themeColor="text1"/>
        </w:rPr>
      </w:pP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4975" w:firstLineChars="23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年   月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rPr>
          <w:rFonts w:hint="eastAsia"/>
          <w:b/>
          <w:color w:val="000000" w:themeColor="text1"/>
          <w:szCs w:val="21"/>
          <w:lang w:val="en-US" w:eastAsia="zh-CN"/>
        </w:rPr>
        <w:t xml:space="preserve"> </w:t>
      </w:r>
      <w:r>
        <w:rPr>
          <w:rFonts w:hint="eastAsia"/>
          <w:b/>
          <w:color w:val="000000" w:themeColor="text1"/>
          <w:szCs w:val="21"/>
        </w:rPr>
        <w:t xml:space="preserve">       日期:  </w:t>
      </w:r>
      <w:r>
        <w:rPr>
          <w:rFonts w:hint="eastAsia"/>
          <w:b/>
          <w:color w:val="000000" w:themeColor="text1"/>
          <w:szCs w:val="21"/>
          <w:lang w:val="en-US" w:eastAsia="zh-CN"/>
        </w:rPr>
        <w:t xml:space="preserve">   </w:t>
      </w:r>
      <w:r>
        <w:rPr>
          <w:rFonts w:hint="eastAsia"/>
          <w:b/>
          <w:color w:val="000000" w:themeColor="text1"/>
          <w:szCs w:val="21"/>
        </w:rPr>
        <w:t xml:space="preserve">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hint="eastAsia"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rPr>
          <w:b/>
          <w:color w:val="000000" w:themeColor="text1"/>
          <w:szCs w:val="21"/>
        </w:rPr>
      </w:pPr>
    </w:p>
    <w:p>
      <w:pPr>
        <w:snapToGrid w:val="0"/>
        <w:rPr>
          <w:b/>
          <w:color w:val="000000" w:themeColor="text1"/>
          <w:szCs w:val="21"/>
        </w:rPr>
      </w:pPr>
    </w:p>
    <w:p>
      <w:pPr>
        <w:snapToGrid w:val="0"/>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B1056CD"/>
    <w:multiLevelType w:val="singleLevel"/>
    <w:tmpl w:val="7B1056CD"/>
    <w:lvl w:ilvl="0" w:tentative="0">
      <w:start w:val="5"/>
      <w:numFmt w:val="decimal"/>
      <w:suff w:val="space"/>
      <w:lvlText w:val="%1."/>
      <w:lvlJc w:val="left"/>
    </w:lvl>
  </w:abstractNum>
  <w:abstractNum w:abstractNumId="3">
    <w:nsid w:val="7C105CD0"/>
    <w:multiLevelType w:val="singleLevel"/>
    <w:tmpl w:val="7C105CD0"/>
    <w:lvl w:ilvl="0" w:tentative="0">
      <w:start w:val="8"/>
      <w:numFmt w:val="decimal"/>
      <w:suff w:val="space"/>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3422F1"/>
    <w:rsid w:val="0F3E5F1C"/>
    <w:rsid w:val="1009502D"/>
    <w:rsid w:val="101B19E2"/>
    <w:rsid w:val="134A4B5D"/>
    <w:rsid w:val="15151CE0"/>
    <w:rsid w:val="16D56245"/>
    <w:rsid w:val="1D470B1D"/>
    <w:rsid w:val="1F1F29EE"/>
    <w:rsid w:val="21E449B5"/>
    <w:rsid w:val="23F31B60"/>
    <w:rsid w:val="2B577489"/>
    <w:rsid w:val="2D3F2B81"/>
    <w:rsid w:val="315F7541"/>
    <w:rsid w:val="31FD22DE"/>
    <w:rsid w:val="322866B2"/>
    <w:rsid w:val="362E5531"/>
    <w:rsid w:val="36B464FA"/>
    <w:rsid w:val="389508E2"/>
    <w:rsid w:val="39B05F9E"/>
    <w:rsid w:val="3B265406"/>
    <w:rsid w:val="3E4804FF"/>
    <w:rsid w:val="3ED4413D"/>
    <w:rsid w:val="400615C3"/>
    <w:rsid w:val="42BE41E2"/>
    <w:rsid w:val="43261237"/>
    <w:rsid w:val="433F6E00"/>
    <w:rsid w:val="44D6467E"/>
    <w:rsid w:val="46F66E8F"/>
    <w:rsid w:val="483C1D22"/>
    <w:rsid w:val="4BBF021F"/>
    <w:rsid w:val="4CC76EC0"/>
    <w:rsid w:val="4EBE122A"/>
    <w:rsid w:val="52980DA4"/>
    <w:rsid w:val="553F1284"/>
    <w:rsid w:val="569828A8"/>
    <w:rsid w:val="57175D9D"/>
    <w:rsid w:val="576E6328"/>
    <w:rsid w:val="607C3F4A"/>
    <w:rsid w:val="643740D6"/>
    <w:rsid w:val="6DD071F1"/>
    <w:rsid w:val="6F3E683C"/>
    <w:rsid w:val="71567CAC"/>
    <w:rsid w:val="733E34CD"/>
    <w:rsid w:val="7A094297"/>
    <w:rsid w:val="7BA512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uiPriority w:val="99"/>
    <w:rPr>
      <w:rFonts w:ascii="Times New Roman" w:hAnsi="Times New Roman" w:eastAsia="宋体" w:cs="Times New Roman"/>
      <w:sz w:val="18"/>
      <w:szCs w:val="18"/>
    </w:rPr>
  </w:style>
  <w:style w:type="character" w:customStyle="1" w:styleId="13">
    <w:name w:val="页脚 Char"/>
    <w:basedOn w:val="9"/>
    <w:link w:val="4"/>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2021-08-04T02:50:32Z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521182E69D294E9491546147AF74D81E</vt:lpwstr>
  </property>
</Properties>
</file>