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/>
          <w:sz w:val="24"/>
          <w:szCs w:val="24"/>
        </w:rPr>
        <w:t>受审核部门：管</w:t>
      </w:r>
      <w:r>
        <w:rPr>
          <w:rFonts w:hint="eastAsia" w:ascii="宋体" w:hAnsi="宋体" w:eastAsia="宋体" w:cs="Times New Roman"/>
          <w:kern w:val="2"/>
          <w:sz w:val="24"/>
          <w:lang w:val="en-US" w:eastAsia="zh-CN" w:bidi="ar-SA"/>
        </w:rPr>
        <w:t>理层、行政部、生产部、市场部，陪同人员：</w:t>
      </w:r>
      <w:bookmarkStart w:id="0" w:name="联系人"/>
      <w:r>
        <w:rPr>
          <w:rFonts w:hint="eastAsia" w:ascii="宋体" w:hAnsi="宋体" w:eastAsia="宋体" w:cs="Times New Roman"/>
          <w:kern w:val="2"/>
          <w:sz w:val="24"/>
          <w:lang w:val="en-US" w:eastAsia="zh-CN" w:bidi="ar-SA"/>
        </w:rPr>
        <w:t>杜明</w:t>
      </w:r>
      <w:bookmarkEnd w:id="0"/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审核员：李林 ，审核时间：2021年08月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01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日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李林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cs="Arial" w:asciiTheme="minorEastAsia" w:hAnsiTheme="minorEastAsia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  <w:t>四川圣祥科技有限公司,2016年09月23日成立，经营范围包括铁道供电设备及城市轨道交通专用设备、交通检验检测设备、电力设备、电器设备及钢结构器材、接地棒验电器的研制、生产及销售；电子仪器仪表、五金工具、标牌标志及非标结构件的生产及销售，钢材、建筑材料、装饰材料、办公家具、办公用品的销售，电力工程施工，建筑劳务分包。(依法须经批准的项目，经相关部门批准后方可开展经营活动）的公司。注册资金500万元整，现场查看营业执照真实有效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该公司目前成立了三个部门：行政部、生产部、市场部。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</w:t>
            </w:r>
            <w:bookmarkStart w:id="1" w:name="生产地址"/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公司注册地址：</w:t>
            </w:r>
            <w:r>
              <w:rPr>
                <w:rFonts w:hint="eastAsia"/>
                <w:lang w:eastAsia="zh-CN"/>
              </w:rPr>
              <w:t>绵阳市游仙区新桥镇同福村5社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经营地址：</w:t>
            </w:r>
            <w:bookmarkEnd w:id="1"/>
            <w:r>
              <w:rPr>
                <w:rFonts w:hint="eastAsia"/>
                <w:lang w:eastAsia="zh-CN"/>
              </w:rPr>
              <w:t>绵阳市游仙区新桥镇同福村5社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经确认，认证范围为：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电气化铁道及电力用供电器材（金属构件）的生产，接地棒验电器的销售</w:t>
            </w:r>
            <w:bookmarkEnd w:id="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询问负责人，主要设备为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加工中心、摇臂钻床、台式钻床、数控机床、轻型台式砂轮机、方柱立式钻床、金属带锯床等等。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  <w:t>----外包过程：表面处理过程</w:t>
            </w:r>
          </w:p>
          <w:p>
            <w:pPr>
              <w:spacing w:line="400" w:lineRule="exac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----特殊过程的识别：焊接过程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----关键过程的识别：焊接过程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体系运行时间：20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组织实际与管理体系文件化信息描述基本一致。有管理层、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行政部、生产部、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市场部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流程见《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业务流程图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查，管理体系文件名称：质量手册，程序文件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个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执行的</w:t>
            </w: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标准（QMS）</w:t>
            </w:r>
          </w:p>
          <w:p>
            <w:pPr>
              <w:pStyle w:val="4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民法典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、中华人民共和国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质量法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、中华人民共和国标准化法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机械加工工艺装备基本术语GB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T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1008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-2008、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机械加工定位、夹紧符号JB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T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5061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-2006、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械加工工艺守则JB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T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9168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-2006、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铸件 尺寸公差与机械加工余量GB/T 6414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-2017、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产品几何技术规范（GPS) 表面结构 轮廓法 表面粗糙度参数及其数值GB/T 1031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-2009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原材料－下料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（机加工</w:t>
            </w:r>
            <w:bookmarkStart w:id="3" w:name="_GoBack"/>
            <w:bookmarkEnd w:id="3"/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－焊接－表处－组装－成品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电气化铁道及电力用供电器材（金属构件）的生产，接地棒验电器的销售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按照客户要求进及</w:t>
            </w: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  <w:t>国家的相关标准进行，不涉及设计和开发项目。不适用该条款后，不影响公司提供满足顾客和适用的法律法规要求的服务的能力，也不免除公司相应的责任，也仍然保持了质量管理体系的完整性。因此，ISO9001：2015标准中的“8.3产品和服务的设计和开发”的要求不适用合理。</w:t>
            </w:r>
          </w:p>
          <w:p>
            <w:pPr>
              <w:pStyle w:val="2"/>
              <w:rPr>
                <w:rFonts w:hint="default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  <w:t>表面处理过程</w:t>
            </w:r>
          </w:p>
          <w:p>
            <w:pPr>
              <w:pStyle w:val="2"/>
              <w:rPr>
                <w:rFonts w:hint="default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司的质量目标：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 产品一次合格率达95%以上；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 产品出厂合格率达到100%；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 顾客满意率达90%以上。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经2021年1月-2021年7月完成情况统计，均满足质量目标要求。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/>
                <w:szCs w:val="21"/>
                <w:highlight w:val="none"/>
              </w:rPr>
              <w:t>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、钢材、绝缘材料、接地棒、验电器等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18人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焊工、电工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焊工、电工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主要设备为加工中心、摇臂钻床、台式钻床、数控机床、轻型台式砂轮机、方柱立式钻床、金属带锯床等等。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钢卷尺、表面粗糙度比较样板、量块、指针式指示表、刀口形直角尺、深标深度卡尺、游标卡尺、内径千分尺等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pStyle w:val="8"/>
              <w:spacing w:before="0" w:beforeAutospacing="0" w:after="0" w:afterAutospacing="0" w:line="500" w:lineRule="exact"/>
              <w:ind w:firstLine="210" w:firstLineChars="10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质量为本，信誉第一，服务至上，持续改进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见有《</w:t>
            </w:r>
            <w:r>
              <w:rPr>
                <w:rFonts w:hint="eastAsia" w:ascii="宋体" w:hAnsi="宋体" w:cs="Times New Roman"/>
                <w:szCs w:val="21"/>
              </w:rPr>
              <w:t>内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部审核计划表》 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2021年06月20日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内审组：组长：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严磊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组员：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钟俊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见有：《内审不符合项报告》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份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涉及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eastAsia="宋体" w:cs="Times New Roman"/>
                <w:szCs w:val="21"/>
              </w:rPr>
              <w:t>不符合标准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8.2.3</w:t>
            </w:r>
            <w:r>
              <w:rPr>
                <w:rFonts w:hint="eastAsia" w:ascii="宋体" w:hAnsi="宋体" w:eastAsia="宋体" w:cs="Times New Roman"/>
                <w:szCs w:val="21"/>
              </w:rPr>
              <w:t>条款，查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市场部对顾客方的评审，未见相关评审的证据</w:t>
            </w:r>
            <w:r>
              <w:rPr>
                <w:rFonts w:hint="eastAsia" w:ascii="宋体" w:hAnsi="宋体" w:eastAsia="宋体" w:cs="Times New Roman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687" w:type="dxa"/>
            <w:noWrap/>
          </w:tcPr>
          <w:p>
            <w:pPr>
              <w:spacing w:line="400" w:lineRule="exact"/>
            </w:pPr>
            <w:r>
              <w:rPr>
                <w:rFonts w:hint="eastAsia"/>
              </w:rPr>
              <w:t>管理评审：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时间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输入是否完整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提出的改进内容</w:t>
            </w:r>
          </w:p>
          <w:p>
            <w:pPr>
              <w:spacing w:line="400" w:lineRule="exact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9749" w:type="dxa"/>
            <w:noWrap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查见《管理评审计划》、《管理评审会议记录》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管理评审于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2021年06月30日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/>
              </w:rPr>
              <w:t>提供主要</w:t>
            </w:r>
            <w:r>
              <w:rPr>
                <w:rFonts w:hint="eastAsia" w:ascii="Times New Roman" w:hAnsi="Times New Roman" w:cs="Times New Roman"/>
                <w:szCs w:val="22"/>
              </w:rPr>
              <w:t>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输出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见“管理评审报告”, 做出了管理体系基本适宜、充分和有效的评审结论。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提供有《管理评审报告》：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评审内容摘要：检查体系运行的适宜性、充分性和有效性，同时评价质量管理体系包括质量方针、目标改进的机会和变更的需要。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管理评审结论：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a)对内审发现的不符合已经整改关闭，纠正后对产品质量起到促进作用；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b)自体系运行实施以来，对于顾客的投诉现象，我们设有营销部能及时收集客户的反馈信息，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质量部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派人现场处理，并能够满足顾客更高的要求和期望；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c)通过体系运行，我们规范了管理，生产过程质量比较稳定，完善了各项改进措施和产品的符合性；工艺技术文件的管理需有待加强；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d)通过内审、数据分析和顾客满意度调查，初步建立了自我完善机制；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e)公司的质量方针和目标正在贯彻实施中，是适宜的；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f) 在体系的运行中，从管理层到员工对此项工作都给予了重视，大家都积极参于、配合工作。</w:t>
            </w:r>
          </w:p>
          <w:p>
            <w:pPr>
              <w:adjustRightInd w:val="0"/>
              <w:snapToGrid w:val="0"/>
              <w:spacing w:before="120" w:after="60" w:line="360" w:lineRule="atLeast"/>
              <w:ind w:right="-2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管理评审输出：</w:t>
            </w:r>
          </w:p>
          <w:p>
            <w:pPr>
              <w:spacing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1﹑质量管理体系有效性的改进：公司全体人员加强对</w:t>
            </w:r>
            <w:r>
              <w:rPr>
                <w:rFonts w:ascii="宋体" w:hAnsi="宋体"/>
                <w:szCs w:val="21"/>
              </w:rPr>
              <w:t>ISO9001:2015</w:t>
            </w:r>
            <w:r>
              <w:rPr>
                <w:rFonts w:hint="eastAsia" w:ascii="宋体" w:hAnsi="宋体"/>
                <w:szCs w:val="21"/>
              </w:rPr>
              <w:t>《质量管理体系 要求》的培训，由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具体负责。</w:t>
            </w:r>
          </w:p>
          <w:p>
            <w:pPr>
              <w:spacing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2﹑过程有效性的改进：公司实际情况增加对质量目标的考核次数。提高质量目标考核的实效性。由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 xml:space="preserve">具体负责。 </w:t>
            </w:r>
          </w:p>
          <w:p>
            <w:pPr>
              <w:spacing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3﹑与顾客要求有关的产品的改进：顾客满意度虽然完成目标值，但是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顾客对价格的满意度</w:t>
            </w:r>
            <w:r>
              <w:rPr>
                <w:rFonts w:hint="eastAsia" w:ascii="宋体" w:hAnsi="宋体"/>
                <w:szCs w:val="21"/>
              </w:rPr>
              <w:t>不够理想，需要提高顾客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对价格的</w:t>
            </w:r>
            <w:r>
              <w:rPr>
                <w:rFonts w:hint="eastAsia" w:ascii="宋体" w:hAnsi="宋体"/>
                <w:szCs w:val="21"/>
              </w:rPr>
              <w:t>满意度，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营销部</w:t>
            </w:r>
            <w:r>
              <w:rPr>
                <w:rFonts w:hint="eastAsia" w:ascii="宋体" w:hAnsi="宋体"/>
                <w:szCs w:val="21"/>
              </w:rPr>
              <w:t>负责。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资源需求：目前公司人员配备齐全，但还需要技能培训，由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负责。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经过一阶段的审核，并与公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司管理者沟通后组织确认具备二阶段的审核条件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C8D3F"/>
    <w:multiLevelType w:val="singleLevel"/>
    <w:tmpl w:val="754C8D3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E580B"/>
    <w:rsid w:val="03C82937"/>
    <w:rsid w:val="06EF4AC0"/>
    <w:rsid w:val="0D87430A"/>
    <w:rsid w:val="0E787BDB"/>
    <w:rsid w:val="0F501628"/>
    <w:rsid w:val="1086667D"/>
    <w:rsid w:val="110346E3"/>
    <w:rsid w:val="122F11F4"/>
    <w:rsid w:val="128B5877"/>
    <w:rsid w:val="129C73BA"/>
    <w:rsid w:val="198D7AD0"/>
    <w:rsid w:val="1BE56C1F"/>
    <w:rsid w:val="1D4B5F6D"/>
    <w:rsid w:val="27B404B3"/>
    <w:rsid w:val="280D6D9D"/>
    <w:rsid w:val="29E27144"/>
    <w:rsid w:val="2B9A1B66"/>
    <w:rsid w:val="2E06682F"/>
    <w:rsid w:val="3029335B"/>
    <w:rsid w:val="30FD1117"/>
    <w:rsid w:val="322B395A"/>
    <w:rsid w:val="36F60B4F"/>
    <w:rsid w:val="38C34489"/>
    <w:rsid w:val="39D1773D"/>
    <w:rsid w:val="3AC10635"/>
    <w:rsid w:val="3BBE7E31"/>
    <w:rsid w:val="40D122A0"/>
    <w:rsid w:val="414873C6"/>
    <w:rsid w:val="41D37860"/>
    <w:rsid w:val="42063083"/>
    <w:rsid w:val="422816A0"/>
    <w:rsid w:val="42CC7D1D"/>
    <w:rsid w:val="43C319A4"/>
    <w:rsid w:val="44964573"/>
    <w:rsid w:val="4507162A"/>
    <w:rsid w:val="45B721A3"/>
    <w:rsid w:val="48A466BA"/>
    <w:rsid w:val="49981864"/>
    <w:rsid w:val="4C243538"/>
    <w:rsid w:val="4E711504"/>
    <w:rsid w:val="5258572F"/>
    <w:rsid w:val="55C317D0"/>
    <w:rsid w:val="571C1EE6"/>
    <w:rsid w:val="59185A06"/>
    <w:rsid w:val="5BC83509"/>
    <w:rsid w:val="5DC33887"/>
    <w:rsid w:val="5E88531B"/>
    <w:rsid w:val="60590319"/>
    <w:rsid w:val="60A934C8"/>
    <w:rsid w:val="60BD2460"/>
    <w:rsid w:val="611A2C86"/>
    <w:rsid w:val="66EB2AA8"/>
    <w:rsid w:val="6ADE0ABF"/>
    <w:rsid w:val="6B7160C3"/>
    <w:rsid w:val="6C4F29EB"/>
    <w:rsid w:val="712B18DC"/>
    <w:rsid w:val="7C79165A"/>
    <w:rsid w:val="7F386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2021-08-05T03:48:15Z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552081975215488481D1E5E5D86694BD</vt:lpwstr>
  </property>
</Properties>
</file>