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>钱国英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温红玲、张磊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2021-08-7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6.1.2 6.2 7.1  8.2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9"/>
              <w:gridCol w:w="268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测量方法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火灾事故为0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人员死亡事故为0人次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控制年工伤事故为≤3人次</w:t>
                  </w:r>
                </w:p>
              </w:tc>
              <w:tc>
                <w:tcPr>
                  <w:tcW w:w="2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FF00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O7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手册第4.4.1章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44.42万 元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21</w:t>
            </w:r>
            <w:bookmarkStart w:id="0" w:name="_GoBack"/>
            <w:bookmarkEnd w:id="0"/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>.5万元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2021年7月23日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2021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4F6BFD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A71280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2021-08-16T15:26:34Z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B291AFA769C742A6904019196AF4582C</vt:lpwstr>
  </property>
</Properties>
</file>