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bookmarkStart w:id="0" w:name="_GoBack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2021-08-6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950"/>
              <w:gridCol w:w="3910"/>
              <w:gridCol w:w="11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撞伤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按交通法规驾驶车辆行驶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禁止乱接乱接、日常检查电源线是否老化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灼烧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操作现场禁止吸烟，安全用电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生产加工防护不当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严格按照生产安全操作规程进行操作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9"/>
              <w:gridCol w:w="268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测量方法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人员死亡事故为0人次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控制年工伤事故为≤3人次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职业病发生事故为0人次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查看职工职业病体检报告 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生产工艺规程：</w:t>
            </w:r>
          </w:p>
          <w:p>
            <w:pPr>
              <w:ind w:firstLine="105" w:firstLineChars="5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配料、干燥→塑化挤出 →真空定径、冷却成型→</w:t>
            </w:r>
            <w:r>
              <w:rPr>
                <w:rFonts w:hint="eastAsia" w:eastAsia="宋体"/>
                <w:color w:val="auto"/>
                <w:lang w:val="en-US" w:eastAsia="zh-CN"/>
              </w:rPr>
              <w:t>打码</w:t>
            </w:r>
            <w:r>
              <w:rPr>
                <w:rFonts w:hint="default" w:eastAsia="宋体"/>
                <w:color w:val="auto"/>
                <w:lang w:val="en-US" w:eastAsia="zh-CN"/>
              </w:rPr>
              <w:t>→牵引→定长切割→检验→</w:t>
            </w:r>
            <w:r>
              <w:rPr>
                <w:rFonts w:hint="eastAsia"/>
                <w:color w:val="auto"/>
                <w:lang w:val="en-US" w:eastAsia="zh-CN"/>
              </w:rPr>
              <w:t>包装入库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询问减少噪声排放的措施：选用低噪设备、车间隔离、加强设备维护、安装减震垫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  部分员工未按要求佩戴劳保用品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查看消防设施的完好情况和日常检查情况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pStyle w:val="2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未能提供消防设备点检记录，现场的消防栓又被遮挡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现场查看</w:t>
            </w:r>
            <w:r>
              <w:rPr>
                <w:rFonts w:hint="default" w:eastAsia="宋体"/>
                <w:color w:val="auto"/>
                <w:lang w:val="en-US" w:eastAsia="zh-CN"/>
              </w:rPr>
              <w:t>塑化挤出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作业区员工正在生产MPPOD110电力护套管，吊卸PP颗粒，操作人员有佩戴劳保用品，依照设备操作规程进行操作，现场查看溶解温度在218℃，设备运转正常。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夜班现场照明良好，装卸车辆运输正常，叉车工持证上岗，无乱丢废弃物现象，现场及时清场，生产现场设备运转正常，员工值班记录无异常。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原材料储存（聚乙烯、聚丙烯等）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对剧毒品的管理：（适用时）无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无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提供了2021年维修保养计划。</w:t>
            </w:r>
          </w:p>
          <w:tbl>
            <w:tblPr>
              <w:tblStyle w:val="7"/>
              <w:tblW w:w="102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2"/>
              <w:gridCol w:w="1174"/>
              <w:gridCol w:w="4361"/>
              <w:gridCol w:w="1870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验收结果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2021.1.10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更换防冻液、皮带、液压油管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王洪涛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2021.4.10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离合器压盘、离合器片、分离轴承、轴承座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  <w:gridCol w:w="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挤出机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2020.1.2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转料管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2020.4.10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场内皖AE：0267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0ND5110-2107-G04890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场内皖AE：0265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0ND5110-2107-G04891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场内皖AE：3387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0ND5110-2107-G04893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场内皖AE：0264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0ND5110-2009-G53716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安全阀(44个)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--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NT-AF-2019-408293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  <w:color w:val="FF0000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pStyle w:val="9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2021年7月23日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2DD5F42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9876E2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E68F5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6B53B5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三级条标题"/>
    <w:basedOn w:val="17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2021-08-07T04:32:23Z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2CEB02BC5A84439A81491ABE3E7BEEA7</vt:lpwstr>
  </property>
</Properties>
</file>