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安徽国登管业科技有限公司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生产工艺规程：</w:t>
            </w:r>
          </w:p>
          <w:p>
            <w:pPr>
              <w:ind w:firstLine="120" w:firstLineChars="50"/>
              <w:rPr>
                <w:rFonts w:hint="default"/>
                <w:lang w:val="en-US" w:eastAsia="zh-CN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配料、干燥→塑化挤出 →真空定径、冷却成型→</w:t>
            </w:r>
            <w:r>
              <w:rPr>
                <w:rFonts w:hint="eastAsia" w:eastAsia="宋体"/>
                <w:color w:val="auto"/>
                <w:lang w:val="en-US" w:eastAsia="zh-CN"/>
              </w:rPr>
              <w:t>打码</w:t>
            </w:r>
            <w:r>
              <w:rPr>
                <w:rFonts w:hint="default" w:eastAsia="宋体"/>
                <w:color w:val="auto"/>
                <w:lang w:val="en-US" w:eastAsia="zh-CN"/>
              </w:rPr>
              <w:t>→牵引→定长切割→检验→</w:t>
            </w:r>
            <w:r>
              <w:rPr>
                <w:rFonts w:hint="eastAsia"/>
                <w:color w:val="auto"/>
                <w:lang w:val="en-US" w:eastAsia="zh-CN"/>
              </w:rPr>
              <w:t>包装入库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关键</w:t>
            </w:r>
            <w:r>
              <w:t>过程：</w:t>
            </w:r>
            <w:r>
              <w:rPr>
                <w:rFonts w:hint="eastAsia"/>
                <w:lang w:val="en-US" w:eastAsia="zh-CN"/>
              </w:rPr>
              <w:t>塑化挤出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特殊</w:t>
            </w:r>
            <w:r>
              <w:t>过程：</w:t>
            </w:r>
            <w:r>
              <w:rPr>
                <w:rFonts w:hint="eastAsia"/>
              </w:rPr>
              <w:t>无</w:t>
            </w:r>
            <w:r>
              <w:t xml:space="preserve">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严格遵守工艺规程，产品判断严格遵守</w:t>
            </w:r>
            <w:r>
              <w:rPr>
                <w:rFonts w:hint="eastAsia"/>
                <w:lang w:val="en-US" w:eastAsia="zh-CN"/>
              </w:rPr>
              <w:t>GB/T13663.2-2018《给水用聚乙烯(PE)管道系统 第二部分：</w:t>
            </w:r>
            <w:r>
              <w:rPr>
                <w:rFonts w:hint="eastAsia"/>
                <w:color w:val="auto"/>
                <w:lang w:val="en-US" w:eastAsia="zh-CN"/>
              </w:rPr>
              <w:t>管材》</w:t>
            </w:r>
          </w:p>
          <w:p>
            <w:pPr>
              <w:pStyle w:val="11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CJ/T 225-2011《埋地排水用钢带增强聚乙烯（PE）螺旋波纹管》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GB/T19472.1-2019《埋地用聚乙烯（PE）结构壁管道系统 第一部分：聚乙烯双壁波纹管材》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废气排放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集气罩搜集加光催化氧化，高空排放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噪声排放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佩戴劳保用品，完善设备减震装置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5"/>
              <w:tblW w:w="77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950"/>
              <w:gridCol w:w="39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撞伤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按交通法规驾驶车辆行驶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禁止乱接乱接、日常检查电源线是否老化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灼烧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操作现场禁止吸烟，安全用电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生产加工防护不当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严格按照生产安全操作规程进行操作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GB/T13663.2-2018《给水用聚乙烯(PE)管道系统 第二部分：管材》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CJ/T 225-2011《埋地排水用钢带增强聚乙烯（PE）螺旋波纹管》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GB/T19472.1-2019《埋地用聚乙烯（PE）结构壁管道系统 第一部分：聚乙烯双壁波纹管材》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《中华人民共和国固体废物污染环境防治法》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《中华人民共和国职业病防治法》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《劳动防护用品配备标准》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详见审核文件包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106680</wp:posOffset>
            </wp:positionV>
            <wp:extent cx="679450" cy="305435"/>
            <wp:effectExtent l="0" t="0" r="6350" b="12065"/>
            <wp:wrapNone/>
            <wp:docPr id="3" name="图片 3" descr="35b3aafdf404ed4d0ef2157cff4e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b3aafdf404ed4d0ef2157cff4e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81280</wp:posOffset>
            </wp:positionV>
            <wp:extent cx="679450" cy="305435"/>
            <wp:effectExtent l="0" t="0" r="6350" b="12065"/>
            <wp:wrapNone/>
            <wp:docPr id="2" name="图片 2" descr="35b3aafdf404ed4d0ef2157cff4e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b3aafdf404ed4d0ef2157cff4e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2021.8.5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2021.8.5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15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2021-08-16T06:45:00Z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2CD6E5526B9F430C8EE0883B614A9F22</vt:lpwstr>
  </property>
</Properties>
</file>