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-969010</wp:posOffset>
            </wp:positionV>
            <wp:extent cx="7146290" cy="10447020"/>
            <wp:effectExtent l="0" t="0" r="3810" b="5080"/>
            <wp:wrapNone/>
            <wp:docPr id="1" name="图片 1" descr="扫描全能王 2021-08-08 13.1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08 13.18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629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成都金戈石油机械有限公司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18.05.02;18.08.00;34.06.00;39.03.02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刘国斌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生产流程图：采购→检验→下料→机加工→铆焊→组装→喷涂（外包）→检验→交付；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修理技术服务流程图：合同签订→修理方案确定→修理技术服务→客户验收交付；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　　　　　　　　　　　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：焊接、组装、压滤，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</w:rPr>
              <w:t>Q/SY XN0276-2015钻井废弃物无害化处理技术规范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 8978-1996 《污水综合排放标准》、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GB18599-2001 《一般工业固体废物贮存、处置场污染控制标准》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/>
          <w:b/>
          <w:sz w:val="22"/>
          <w:szCs w:val="22"/>
        </w:rPr>
      </w:pPr>
    </w:p>
    <w:p>
      <w:pPr>
        <w:snapToGrid w:val="0"/>
        <w:spacing w:line="360" w:lineRule="auto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2021.8.3</w:t>
      </w:r>
      <w:r>
        <w:rPr>
          <w:rFonts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2021.8.3</w:t>
      </w:r>
    </w:p>
    <w:p>
      <w:pPr>
        <w:snapToGrid w:val="0"/>
        <w:spacing w:line="360" w:lineRule="auto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spacing w:line="360" w:lineRule="auto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245DCA"/>
    <w:rsid w:val="5A2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2021-08-08T12:17:40Z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15453AF6E9224621BB8D5B2604055DFD</vt:lpwstr>
  </property>
</Properties>
</file>