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950"/>
        <w:gridCol w:w="925"/>
        <w:gridCol w:w="92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四川永跃服装有限公司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Q：04.05.02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O：04.05.02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宋冬梅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O：04.05.02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服装生产加工工艺流程：</w:t>
            </w:r>
            <w:r>
              <w:rPr>
                <w:rFonts w:hint="eastAsia" w:ascii="宋体" w:hAnsi="宋体"/>
                <w:color w:val="auto"/>
                <w:sz w:val="24"/>
              </w:rPr>
              <w:t>制版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剪裁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4"/>
              </w:rPr>
              <w:t>粘合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缝制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定型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风险：生产</w:t>
            </w:r>
            <w:r>
              <w:rPr>
                <w:rFonts w:hint="eastAsia" w:ascii="Times New Roman" w:hAnsi="Times New Roman" w:eastAsia="宋体" w:cs="Times New Roman"/>
              </w:rPr>
              <w:t>过程通过拟定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产品生产规范</w:t>
            </w:r>
            <w:r>
              <w:rPr>
                <w:rFonts w:hint="eastAsia" w:ascii="Times New Roman" w:hAnsi="Times New Roman" w:eastAsia="宋体" w:cs="Times New Roman"/>
              </w:rPr>
              <w:t>和环境安全管理制度对过程和质量进行控制，存在的风险有造成质量、安全和环境污染事故。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需确认/关键过程：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无。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控制措施：通过加强设备控制，拟定作业指导书，并对操作工培训进行控制。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重要环境因素：固体废弃物、潜在火灾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</w:rPr>
              <w:t>通过制定管理方案和应急预案进行控制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不可接受风险：触电、火灾、机械伤害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</w:rPr>
              <w:t>通过制定管理方案和应急预案进行控制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60" w:afterAutospacing="0" w:line="240" w:lineRule="auto"/>
              <w:ind w:left="0" w:right="0" w:firstLine="0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衬衫GB/T 2660-2017；男西服、大衣GB/T 2664-2017；女西服、大衣GB/T 2665-2017；西裤GB/T 2666-2017；羽绒服装GB/T 14272-2011；针织学生服GB/T 22854-2009；人造毛皮服装FZ/T 81009-2014；防护服装 防静电服GB/T12014-2019；中小学生校服GB/T31888-2015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服装检验项目：材质、样式尺寸、表面质量、包装质量等。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145415</wp:posOffset>
            </wp:positionV>
            <wp:extent cx="757555" cy="334645"/>
            <wp:effectExtent l="0" t="0" r="4445" b="825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2021.7.29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2021.7.29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990463"/>
    <w:rsid w:val="3BC05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2021-08-20T00:49:05Z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AC8F6F40FF8947FB86B04C82F106F8A5</vt:lpwstr>
  </property>
</Properties>
</file>