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管理体系远程审核记录表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采购</w:t>
            </w:r>
            <w:r>
              <w:rPr>
                <w:rFonts w:hint="eastAsia"/>
                <w:sz w:val="24"/>
                <w:szCs w:val="24"/>
              </w:rPr>
              <w:t>部</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许婷   </w:t>
            </w:r>
            <w:r>
              <w:rPr>
                <w:rFonts w:hint="eastAsia"/>
                <w:sz w:val="24"/>
                <w:szCs w:val="24"/>
              </w:rPr>
              <w:t>陪同人员：</w:t>
            </w:r>
            <w:r>
              <w:rPr>
                <w:rFonts w:hint="eastAsia"/>
                <w:sz w:val="24"/>
                <w:szCs w:val="24"/>
                <w:lang w:val="en-US" w:eastAsia="zh-CN"/>
              </w:rPr>
              <w:t>黄新元</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 xml:space="preserve">汪桂丽 强兴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adjustRightInd w:val="0"/>
              <w:snapToGrid w:val="0"/>
              <w:spacing w:line="240" w:lineRule="exact"/>
              <w:ind w:right="105" w:rightChars="50"/>
              <w:jc w:val="left"/>
              <w:textAlignment w:val="baseline"/>
              <w:rPr>
                <w:rFonts w:ascii="宋体" w:hAnsi="宋体" w:cs="Arial"/>
                <w:sz w:val="21"/>
                <w:szCs w:val="21"/>
              </w:rPr>
            </w:pPr>
            <w:r>
              <w:rPr>
                <w:rFonts w:hint="eastAsia"/>
                <w:sz w:val="24"/>
                <w:szCs w:val="24"/>
              </w:rPr>
              <w:t>审核条款：</w:t>
            </w:r>
            <w:r>
              <w:rPr>
                <w:rFonts w:hint="eastAsia" w:ascii="宋体" w:hAnsi="宋体" w:cs="Arial"/>
                <w:b/>
                <w:sz w:val="21"/>
                <w:szCs w:val="21"/>
              </w:rPr>
              <w:t>QMS:</w:t>
            </w:r>
            <w:r>
              <w:rPr>
                <w:rFonts w:hint="eastAsia" w:ascii="宋体" w:hAnsi="宋体" w:cs="Arial"/>
                <w:sz w:val="21"/>
                <w:szCs w:val="21"/>
              </w:rPr>
              <w:t>5.3组织的岗位、职责和权限、6.2质量目标、8.4外部提供过程、产品和服务的控制、8.5.3顾客或外部供方的财产</w:t>
            </w:r>
          </w:p>
          <w:p>
            <w:pPr>
              <w:pStyle w:val="2"/>
              <w:spacing w:line="240" w:lineRule="auto"/>
            </w:pPr>
            <w:r>
              <w:rPr>
                <w:rFonts w:hint="eastAsia" w:ascii="宋体" w:hAnsi="宋体" w:cs="Arial"/>
                <w:b/>
                <w:sz w:val="21"/>
                <w:szCs w:val="21"/>
              </w:rPr>
              <w:t>E/OMS:</w:t>
            </w:r>
            <w:r>
              <w:rPr>
                <w:rFonts w:hint="eastAsia" w:ascii="宋体" w:hAnsi="宋体" w:cs="Arial"/>
                <w:sz w:val="21"/>
                <w:szCs w:val="21"/>
              </w:rPr>
              <w:t xml:space="preserve"> 5.3组织的岗位、职责和权限、6.2环境与职业健康安全目标、6.1.2环境因素/危险源辨识与评价、8.1运行策划和控制</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w:t>
            </w:r>
            <w:r>
              <w:rPr>
                <w:rFonts w:hint="eastAsia"/>
                <w:szCs w:val="21"/>
                <w:lang w:val="en-US" w:eastAsia="zh-CN"/>
              </w:rPr>
              <w:t>O</w:t>
            </w:r>
            <w:r>
              <w:rPr>
                <w:rFonts w:hint="eastAsia"/>
                <w:szCs w:val="21"/>
              </w:rPr>
              <w:t>5.3</w:t>
            </w:r>
          </w:p>
          <w:p>
            <w:pPr>
              <w:pStyle w:val="2"/>
            </w:pPr>
          </w:p>
        </w:tc>
        <w:tc>
          <w:tcPr>
            <w:tcW w:w="10694" w:type="dxa"/>
            <w:vAlign w:val="center"/>
          </w:tcPr>
          <w:p>
            <w:pPr>
              <w:ind w:firstLine="420" w:firstLineChars="200"/>
              <w:rPr>
                <w:bCs/>
              </w:rPr>
            </w:pPr>
            <w:r>
              <w:rPr>
                <w:rFonts w:hint="eastAsia"/>
              </w:rPr>
              <w:t>部门负责人：</w:t>
            </w:r>
            <w:r>
              <w:rPr>
                <w:rFonts w:hint="eastAsia"/>
                <w:lang w:val="en-US" w:eastAsia="zh-CN"/>
              </w:rPr>
              <w:t>许婷，部门主要</w:t>
            </w:r>
            <w:r>
              <w:rPr>
                <w:rFonts w:hint="eastAsia"/>
                <w:bCs/>
              </w:rPr>
              <w:t>职业和权限：</w:t>
            </w:r>
          </w:p>
          <w:p>
            <w:pPr>
              <w:ind w:firstLine="420" w:firstLineChars="200"/>
              <w:rPr>
                <w:bCs/>
              </w:rPr>
            </w:pPr>
            <w:r>
              <w:rPr>
                <w:rFonts w:hint="eastAsia"/>
                <w:bCs/>
              </w:rPr>
              <w:t>1.根据生产计划和现有库存情况，编制物资采购计划并组织实施，对物资供应的及时性和采购物资的</w:t>
            </w:r>
            <w:r>
              <w:rPr>
                <w:rFonts w:hint="eastAsia"/>
                <w:bCs/>
                <w:lang w:eastAsia="zh-CN"/>
              </w:rPr>
              <w:t>质量/环境/职业健康安全</w:t>
            </w:r>
            <w:r>
              <w:rPr>
                <w:rFonts w:hint="eastAsia"/>
                <w:bCs/>
              </w:rPr>
              <w:t>负责。</w:t>
            </w:r>
          </w:p>
          <w:p>
            <w:pPr>
              <w:ind w:firstLine="420" w:firstLineChars="200"/>
              <w:rPr>
                <w:bCs/>
              </w:rPr>
            </w:pPr>
            <w:r>
              <w:rPr>
                <w:rFonts w:hint="eastAsia"/>
                <w:bCs/>
              </w:rPr>
              <w:t>2.负责对物资供方进行</w:t>
            </w:r>
            <w:r>
              <w:rPr>
                <w:rFonts w:hint="eastAsia"/>
                <w:bCs/>
                <w:lang w:eastAsia="zh-CN"/>
              </w:rPr>
              <w:t>质量/环境/职业健康安全</w:t>
            </w:r>
            <w:r>
              <w:rPr>
                <w:rFonts w:hint="eastAsia"/>
                <w:bCs/>
              </w:rPr>
              <w:t>、价格和服务等方面评价，建立完整的合格供方档案，组织对供方评审。重要物资在合格供方范围内实施采购。</w:t>
            </w:r>
          </w:p>
          <w:p>
            <w:pPr>
              <w:ind w:firstLine="420" w:firstLineChars="200"/>
              <w:rPr>
                <w:bCs/>
              </w:rPr>
            </w:pPr>
            <w:r>
              <w:rPr>
                <w:rFonts w:hint="eastAsia"/>
                <w:bCs/>
              </w:rPr>
              <w:t>3.负责办理采购物资报验和紧急放行手续,负责对采购物资中的不合格品进行处置和纠正预防措施的实施。</w:t>
            </w:r>
          </w:p>
          <w:p>
            <w:pPr>
              <w:ind w:firstLine="420" w:firstLineChars="200"/>
              <w:rPr>
                <w:bCs/>
              </w:rPr>
            </w:pPr>
            <w:r>
              <w:rPr>
                <w:rFonts w:hint="eastAsia"/>
                <w:bCs/>
              </w:rPr>
              <w:t>4.负责库房管理，做好物资的入库验收、整理、保管、维护、发放和清仓盘点工作，保持帐、卡、物一致。</w:t>
            </w:r>
          </w:p>
          <w:p>
            <w:pPr>
              <w:ind w:firstLine="420" w:firstLineChars="200"/>
              <w:rPr>
                <w:bCs/>
              </w:rPr>
            </w:pPr>
            <w:r>
              <w:rPr>
                <w:rFonts w:hint="eastAsia"/>
                <w:bCs/>
              </w:rPr>
              <w:t>5.对仓库物资标识清楚、摆放整齐，并作必要的保护，防止物资损坏、变质。有保质期的物资按“先进先出”的原则发放。</w:t>
            </w:r>
          </w:p>
          <w:p>
            <w:pPr>
              <w:ind w:firstLine="420" w:firstLineChars="200"/>
              <w:rPr>
                <w:bCs/>
              </w:rPr>
            </w:pPr>
            <w:r>
              <w:rPr>
                <w:rFonts w:hint="eastAsia"/>
                <w:bCs/>
              </w:rPr>
              <w:t>6.负责安全库存的控制，低于安全库存的信息及时反馈到生</w:t>
            </w:r>
            <w:r>
              <w:rPr>
                <w:rFonts w:hint="eastAsia"/>
                <w:bCs/>
                <w:lang w:val="en-US" w:eastAsia="zh-CN"/>
              </w:rPr>
              <w:t>行政部</w:t>
            </w:r>
            <w:r>
              <w:rPr>
                <w:rFonts w:hint="eastAsia"/>
                <w:bCs/>
              </w:rPr>
              <w:t>和</w:t>
            </w:r>
            <w:r>
              <w:rPr>
                <w:rFonts w:hint="eastAsia"/>
                <w:bCs/>
                <w:lang w:val="en-US" w:eastAsia="zh-CN"/>
              </w:rPr>
              <w:t>销售部</w:t>
            </w:r>
            <w:r>
              <w:rPr>
                <w:rFonts w:hint="eastAsia"/>
                <w:bCs/>
              </w:rPr>
              <w:t>。</w:t>
            </w:r>
          </w:p>
          <w:p>
            <w:pPr>
              <w:ind w:firstLine="630" w:firstLineChars="300"/>
            </w:pPr>
            <w:r>
              <w:rPr>
                <w:rFonts w:hint="eastAsia"/>
              </w:rPr>
              <w:t>职责明确，回答基本正确，沟通顺畅。</w:t>
            </w:r>
          </w:p>
        </w:tc>
        <w:tc>
          <w:tcPr>
            <w:tcW w:w="89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O</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目标可测量，与公司管理</w:t>
            </w:r>
            <w:r>
              <w:rPr>
                <w:rFonts w:hint="eastAsia"/>
                <w:lang w:val="en-US" w:eastAsia="zh-CN"/>
              </w:rPr>
              <w:t>总目标、</w:t>
            </w:r>
            <w:r>
              <w:rPr>
                <w:rFonts w:hint="eastAsia"/>
              </w:rPr>
              <w:t>方针一致。</w:t>
            </w:r>
          </w:p>
          <w:p>
            <w:pPr>
              <w:autoSpaceDE w:val="0"/>
              <w:autoSpaceDN w:val="0"/>
              <w:adjustRightInd w:val="0"/>
              <w:ind w:firstLine="420" w:firstLineChars="200"/>
              <w:rPr>
                <w:rFonts w:hAnsi="宋体" w:cs="宋体"/>
                <w:kern w:val="0"/>
              </w:rPr>
            </w:pPr>
            <w:r>
              <w:rPr>
                <w:rFonts w:hint="eastAsia" w:hAnsi="宋体" w:cs="宋体"/>
                <w:kern w:val="0"/>
                <w:lang w:eastAsia="zh-CN"/>
              </w:rPr>
              <w:t>采购部</w:t>
            </w:r>
            <w:r>
              <w:rPr>
                <w:rFonts w:hint="eastAsia" w:hAnsi="宋体" w:cs="宋体"/>
                <w:kern w:val="0"/>
              </w:rPr>
              <w:t>的目标分解为：</w:t>
            </w:r>
          </w:p>
          <w:p>
            <w:pPr>
              <w:pStyle w:val="22"/>
              <w:numPr>
                <w:ilvl w:val="3"/>
                <w:numId w:val="1"/>
              </w:numPr>
              <w:autoSpaceDE w:val="0"/>
              <w:autoSpaceDN w:val="0"/>
              <w:adjustRightInd w:val="0"/>
              <w:ind w:firstLineChars="0"/>
              <w:rPr>
                <w:rFonts w:hAnsi="宋体" w:cs="宋体"/>
                <w:kern w:val="0"/>
              </w:rPr>
            </w:pPr>
            <w:r>
              <w:rPr>
                <w:rFonts w:hint="eastAsia" w:hAnsi="宋体" w:cs="宋体"/>
                <w:kern w:val="0"/>
              </w:rPr>
              <w:t>商品符合合同要求 合格率≥9</w:t>
            </w:r>
            <w:r>
              <w:rPr>
                <w:rFonts w:hint="eastAsia" w:hAnsi="宋体" w:cs="宋体"/>
                <w:kern w:val="0"/>
                <w:lang w:val="en-US" w:eastAsia="zh-CN"/>
              </w:rPr>
              <w:t>8</w:t>
            </w:r>
            <w:r>
              <w:rPr>
                <w:rFonts w:hint="eastAsia" w:hAnsi="宋体" w:cs="宋体"/>
                <w:kern w:val="0"/>
              </w:rPr>
              <w:t>％</w:t>
            </w:r>
          </w:p>
          <w:p>
            <w:pPr>
              <w:pStyle w:val="22"/>
              <w:numPr>
                <w:ilvl w:val="3"/>
                <w:numId w:val="1"/>
              </w:numPr>
              <w:autoSpaceDE w:val="0"/>
              <w:autoSpaceDN w:val="0"/>
              <w:adjustRightInd w:val="0"/>
              <w:ind w:firstLineChars="0"/>
              <w:rPr>
                <w:rFonts w:hAnsi="宋体" w:cs="宋体"/>
                <w:kern w:val="0"/>
              </w:rPr>
            </w:pPr>
            <w:r>
              <w:rPr>
                <w:rFonts w:hint="eastAsia" w:hAnsi="宋体" w:cs="宋体"/>
                <w:kern w:val="0"/>
                <w:lang w:val="en-US" w:eastAsia="zh-CN"/>
              </w:rPr>
              <w:t>采购产品到货及时率≥99%</w:t>
            </w:r>
          </w:p>
          <w:p>
            <w:pPr>
              <w:pStyle w:val="22"/>
              <w:numPr>
                <w:ilvl w:val="3"/>
                <w:numId w:val="1"/>
              </w:numPr>
              <w:autoSpaceDE w:val="0"/>
              <w:autoSpaceDN w:val="0"/>
              <w:adjustRightInd w:val="0"/>
              <w:ind w:firstLineChars="0"/>
              <w:rPr>
                <w:rFonts w:hAnsi="宋体" w:cs="宋体"/>
                <w:kern w:val="0"/>
              </w:rPr>
            </w:pPr>
            <w:r>
              <w:rPr>
                <w:rFonts w:hint="eastAsia" w:hAnsi="宋体" w:cs="宋体"/>
                <w:kern w:val="0"/>
              </w:rPr>
              <w:t>固体弃物有效分类回收率100％</w:t>
            </w:r>
          </w:p>
          <w:p>
            <w:pPr>
              <w:pStyle w:val="22"/>
              <w:numPr>
                <w:ilvl w:val="3"/>
                <w:numId w:val="1"/>
              </w:numPr>
              <w:autoSpaceDE w:val="0"/>
              <w:autoSpaceDN w:val="0"/>
              <w:adjustRightInd w:val="0"/>
              <w:ind w:firstLineChars="0"/>
              <w:rPr>
                <w:rFonts w:hAnsi="宋体" w:cs="宋体"/>
                <w:kern w:val="0"/>
              </w:rPr>
            </w:pPr>
            <w:r>
              <w:rPr>
                <w:rFonts w:hint="eastAsia" w:hAnsi="宋体" w:cs="宋体"/>
                <w:kern w:val="0"/>
              </w:rPr>
              <w:t>重大环境污染事故为零</w:t>
            </w:r>
          </w:p>
          <w:p>
            <w:pPr>
              <w:pStyle w:val="2"/>
              <w:numPr>
                <w:ilvl w:val="3"/>
                <w:numId w:val="1"/>
              </w:numPr>
              <w:rPr>
                <w:rFonts w:hAnsi="宋体" w:cs="宋体"/>
                <w:kern w:val="0"/>
              </w:rPr>
            </w:pPr>
            <w:r>
              <w:rPr>
                <w:rFonts w:hint="eastAsia" w:hAnsi="宋体" w:cs="宋体"/>
                <w:kern w:val="0"/>
              </w:rPr>
              <w:t>火灾事故发生次数为: 0次</w:t>
            </w:r>
          </w:p>
          <w:p>
            <w:pPr>
              <w:pStyle w:val="2"/>
              <w:numPr>
                <w:ilvl w:val="3"/>
                <w:numId w:val="1"/>
              </w:numPr>
              <w:rPr>
                <w:rFonts w:hAnsi="宋体" w:cs="宋体"/>
                <w:kern w:val="0"/>
              </w:rPr>
            </w:pPr>
            <w:r>
              <w:rPr>
                <w:rFonts w:hint="eastAsia" w:hAnsi="宋体" w:cs="宋体"/>
                <w:kern w:val="0"/>
              </w:rPr>
              <w:t>员工意外伤害为0</w:t>
            </w:r>
          </w:p>
          <w:p>
            <w:pPr>
              <w:pStyle w:val="2"/>
              <w:ind w:firstLine="460" w:firstLineChars="200"/>
            </w:pPr>
            <w:r>
              <w:rPr>
                <w:rFonts w:hint="eastAsia"/>
              </w:rPr>
              <w:t>每年由</w:t>
            </w:r>
            <w:r>
              <w:rPr>
                <w:rFonts w:hint="eastAsia"/>
                <w:lang w:val="en-US" w:eastAsia="zh-CN"/>
              </w:rPr>
              <w:t>行政部</w:t>
            </w:r>
            <w:r>
              <w:rPr>
                <w:rFonts w:hint="eastAsia"/>
              </w:rPr>
              <w:t>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2</w:t>
            </w:r>
            <w:r>
              <w:rPr>
                <w:rFonts w:hint="eastAsia"/>
              </w:rPr>
              <w:t>月-</w:t>
            </w:r>
            <w:r>
              <w:t>202</w:t>
            </w:r>
            <w:r>
              <w:rPr>
                <w:rFonts w:hint="eastAsia"/>
                <w:lang w:val="en-US" w:eastAsia="zh-CN"/>
              </w:rPr>
              <w:t>1</w:t>
            </w:r>
            <w:r>
              <w:rPr>
                <w:rFonts w:hint="eastAsia"/>
              </w:rPr>
              <w:t>年</w:t>
            </w:r>
            <w:r>
              <w:rPr>
                <w:rFonts w:hint="eastAsia"/>
                <w:lang w:val="en-US" w:eastAsia="zh-CN"/>
              </w:rPr>
              <w:t>7</w:t>
            </w:r>
            <w:r>
              <w:rPr>
                <w:rFonts w:hint="eastAsia"/>
              </w:rPr>
              <w:t>月，公司管理目标完成情况，各项目标均已完成，考核部门</w:t>
            </w:r>
            <w:r>
              <w:rPr>
                <w:rFonts w:hint="eastAsia"/>
                <w:lang w:val="en-US" w:eastAsia="zh-CN"/>
              </w:rPr>
              <w:t>行政部</w:t>
            </w:r>
            <w:r>
              <w:rPr>
                <w:rFonts w:hint="eastAsia"/>
              </w:rPr>
              <w:t>。</w:t>
            </w:r>
          </w:p>
          <w:p>
            <w:pPr>
              <w:ind w:firstLine="420" w:firstLineChars="200"/>
              <w:rPr>
                <w:rFonts w:hint="eastAsia" w:eastAsiaTheme="minorEastAsia"/>
                <w:lang w:eastAsia="zh-CN"/>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”，公司针对重要环境因素和重大危险源制订了相应的管理方案。</w:t>
            </w: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r>
              <w:rPr>
                <w:rFonts w:hint="eastAsia" w:ascii="宋体" w:hAnsi="宋体" w:cs="Arial"/>
                <w:sz w:val="21"/>
                <w:szCs w:val="21"/>
              </w:rPr>
              <w:t>环境因素/危险源辨识与评价</w:t>
            </w:r>
          </w:p>
        </w:tc>
        <w:tc>
          <w:tcPr>
            <w:tcW w:w="960" w:type="dxa"/>
          </w:tcPr>
          <w:p>
            <w:r>
              <w:rPr>
                <w:rFonts w:hint="eastAsia" w:ascii="宋体" w:cs="宋体"/>
                <w:szCs w:val="21"/>
              </w:rPr>
              <w:t>E</w:t>
            </w:r>
            <w:r>
              <w:rPr>
                <w:rFonts w:hint="eastAsia" w:ascii="宋体" w:cs="宋体"/>
                <w:szCs w:val="21"/>
                <w:lang w:val="en-US" w:eastAsia="zh-CN"/>
              </w:rPr>
              <w:t>O</w:t>
            </w:r>
            <w:r>
              <w:rPr>
                <w:rFonts w:hint="eastAsia" w:ascii="宋体" w:cs="宋体"/>
                <w:szCs w:val="21"/>
              </w:rPr>
              <w:t>6</w:t>
            </w:r>
            <w:r>
              <w:rPr>
                <w:rFonts w:ascii="宋体" w:cs="宋体"/>
                <w:szCs w:val="21"/>
              </w:rPr>
              <w:t>.1.2</w:t>
            </w:r>
          </w:p>
        </w:tc>
        <w:tc>
          <w:tcPr>
            <w:tcW w:w="106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编制了《环境因素、危险源识别评价控制程序》，采用是非判断法，规定重大环境因素评定</w:t>
            </w:r>
            <w:r>
              <w:rPr>
                <w:rFonts w:hint="eastAsia" w:ascii="宋体" w:hAnsi="宋体" w:eastAsia="宋体" w:cs="宋体"/>
                <w:color w:val="auto"/>
                <w:sz w:val="21"/>
                <w:szCs w:val="21"/>
                <w:lang w:val="en-US" w:eastAsia="zh-CN"/>
              </w:rPr>
              <w:t>程序</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提供《环境因素识别评价表》对</w:t>
            </w:r>
            <w:r>
              <w:rPr>
                <w:rFonts w:hint="eastAsia" w:ascii="宋体" w:hAnsi="宋体" w:cs="宋体"/>
                <w:color w:val="auto"/>
                <w:sz w:val="21"/>
                <w:szCs w:val="21"/>
                <w:lang w:eastAsia="zh-CN"/>
              </w:rPr>
              <w:t>供销</w:t>
            </w:r>
            <w:r>
              <w:rPr>
                <w:rFonts w:hint="eastAsia" w:ascii="宋体" w:hAnsi="宋体" w:eastAsia="宋体" w:cs="宋体"/>
                <w:color w:val="auto"/>
                <w:sz w:val="21"/>
                <w:szCs w:val="21"/>
                <w:lang w:eastAsia="zh-CN"/>
              </w:rPr>
              <w:t>活动</w:t>
            </w:r>
            <w:r>
              <w:rPr>
                <w:rFonts w:hint="eastAsia" w:ascii="宋体" w:hAnsi="宋体" w:cs="宋体"/>
                <w:color w:val="auto"/>
                <w:sz w:val="21"/>
                <w:szCs w:val="21"/>
                <w:lang w:eastAsia="zh-CN"/>
              </w:rPr>
              <w:t>生命周期全过程</w:t>
            </w:r>
            <w:r>
              <w:rPr>
                <w:rFonts w:hint="eastAsia" w:ascii="宋体" w:hAnsi="宋体" w:eastAsia="宋体" w:cs="宋体"/>
                <w:color w:val="auto"/>
                <w:sz w:val="21"/>
                <w:szCs w:val="21"/>
                <w:lang w:eastAsia="zh-CN"/>
              </w:rPr>
              <w:t>分别进行排查，考虑了大气污染、噪声污染、土壤污染、水污染、废弃物污染、能源和资源消耗、火灾等方面；从过去、现在、将来三种时态；正常、异常和紧急三种</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识别本部门</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eastAsia="zh-CN"/>
              </w:rPr>
              <w:t>过程各区域环境因素有：</w:t>
            </w:r>
            <w:r>
              <w:rPr>
                <w:rFonts w:hint="eastAsia" w:ascii="宋体" w:hAnsi="宋体" w:cs="宋体"/>
                <w:color w:val="auto"/>
                <w:sz w:val="21"/>
                <w:szCs w:val="21"/>
                <w:lang w:eastAsia="zh-CN"/>
              </w:rPr>
              <w:t>废水排放、</w:t>
            </w:r>
            <w:r>
              <w:rPr>
                <w:rFonts w:hint="eastAsia" w:ascii="宋体" w:hAnsi="宋体" w:eastAsia="宋体" w:cs="宋体"/>
                <w:color w:val="auto"/>
                <w:sz w:val="21"/>
                <w:szCs w:val="21"/>
                <w:lang w:eastAsia="zh-CN"/>
              </w:rPr>
              <w:t>水电消耗、废弃物排放、潜在火灾等。重要环境因素识别有：火灾。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环境因素识别经核实基本齐全</w:t>
            </w:r>
            <w:r>
              <w:rPr>
                <w:rFonts w:hint="eastAsia" w:ascii="宋体" w:hAnsi="宋体" w:cs="宋体"/>
                <w:color w:val="auto"/>
                <w:sz w:val="21"/>
                <w:szCs w:val="21"/>
                <w:lang w:val="en-US" w:eastAsia="zh-CN"/>
              </w:rPr>
              <w:t>重要环境因素评价基本合理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提供《危险源辨识和风险评价表》对</w:t>
            </w:r>
            <w:r>
              <w:rPr>
                <w:rFonts w:hint="eastAsia" w:ascii="宋体" w:hAnsi="宋体" w:cs="宋体"/>
                <w:color w:val="auto"/>
                <w:sz w:val="21"/>
                <w:szCs w:val="21"/>
                <w:lang w:eastAsia="zh-CN"/>
              </w:rPr>
              <w:t>供销</w:t>
            </w:r>
            <w:r>
              <w:rPr>
                <w:rFonts w:hint="eastAsia" w:ascii="宋体" w:hAnsi="宋体" w:eastAsia="宋体" w:cs="宋体"/>
                <w:color w:val="auto"/>
                <w:sz w:val="21"/>
                <w:szCs w:val="21"/>
                <w:lang w:eastAsia="zh-CN"/>
              </w:rPr>
              <w:t>活动分别</w:t>
            </w:r>
            <w:r>
              <w:rPr>
                <w:rFonts w:hint="eastAsia" w:ascii="宋体" w:hAnsi="宋体" w:cs="宋体"/>
                <w:color w:val="auto"/>
                <w:sz w:val="21"/>
                <w:szCs w:val="21"/>
                <w:lang w:eastAsia="zh-CN"/>
              </w:rPr>
              <w:t>用</w:t>
            </w:r>
            <w:r>
              <w:rPr>
                <w:rFonts w:hint="eastAsia" w:ascii="宋体" w:hAnsi="宋体" w:cs="宋体"/>
                <w:color w:val="auto"/>
                <w:sz w:val="21"/>
                <w:szCs w:val="21"/>
                <w:lang w:val="en-US" w:eastAsia="zh-CN"/>
              </w:rPr>
              <w:t>LEC法</w:t>
            </w:r>
            <w:r>
              <w:rPr>
                <w:rFonts w:hint="eastAsia" w:ascii="宋体" w:hAnsi="宋体" w:eastAsia="宋体" w:cs="宋体"/>
                <w:color w:val="auto"/>
                <w:sz w:val="21"/>
                <w:szCs w:val="21"/>
                <w:lang w:eastAsia="zh-CN"/>
              </w:rPr>
              <w:t>进行</w:t>
            </w:r>
            <w:r>
              <w:rPr>
                <w:rFonts w:hint="eastAsia" w:ascii="宋体" w:hAnsi="宋体" w:cs="宋体"/>
                <w:color w:val="auto"/>
                <w:sz w:val="21"/>
                <w:szCs w:val="21"/>
                <w:lang w:eastAsia="zh-CN"/>
              </w:rPr>
              <w:t>辨识</w:t>
            </w:r>
            <w:r>
              <w:rPr>
                <w:rFonts w:hint="eastAsia" w:ascii="宋体" w:hAnsi="宋体" w:eastAsia="宋体" w:cs="宋体"/>
                <w:color w:val="auto"/>
                <w:sz w:val="21"/>
                <w:szCs w:val="21"/>
                <w:lang w:eastAsia="zh-CN"/>
              </w:rPr>
              <w:t>，从过去、现在、将来三种时态；正常、异常和紧急三种状态识别危险源。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lang w:eastAsia="zh-CN"/>
              </w:rPr>
              <w:t>本部门识别的各区域危险源有：触电、意外伤害、火灾、</w:t>
            </w:r>
            <w:r>
              <w:rPr>
                <w:rFonts w:hint="eastAsia" w:ascii="宋体" w:hAnsi="宋体" w:cs="宋体"/>
                <w:color w:val="auto"/>
                <w:sz w:val="21"/>
                <w:szCs w:val="21"/>
                <w:lang w:eastAsia="zh-CN"/>
              </w:rPr>
              <w:t>交通事故、饮食中毒</w:t>
            </w:r>
            <w:r>
              <w:rPr>
                <w:rFonts w:hint="eastAsia" w:ascii="宋体" w:hAnsi="宋体" w:eastAsia="宋体" w:cs="宋体"/>
                <w:color w:val="auto"/>
                <w:sz w:val="21"/>
                <w:szCs w:val="21"/>
                <w:lang w:eastAsia="zh-CN"/>
              </w:rPr>
              <w:t>等。</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w:t>
            </w:r>
            <w:r>
              <w:rPr>
                <w:rFonts w:hint="eastAsia" w:ascii="宋体" w:hAnsi="宋体" w:eastAsia="宋体" w:cs="宋体"/>
                <w:color w:val="auto"/>
                <w:sz w:val="21"/>
                <w:szCs w:val="21"/>
                <w:lang w:eastAsia="zh-CN"/>
              </w:rPr>
              <w:t>有：火灾、</w:t>
            </w:r>
            <w:r>
              <w:rPr>
                <w:rFonts w:hint="eastAsia" w:ascii="宋体" w:hAnsi="宋体" w:cs="宋体"/>
                <w:color w:val="auto"/>
                <w:sz w:val="21"/>
                <w:szCs w:val="21"/>
                <w:lang w:eastAsia="zh-CN"/>
              </w:rPr>
              <w:t>意外伤害</w:t>
            </w:r>
            <w:r>
              <w:rPr>
                <w:rFonts w:hint="eastAsia" w:ascii="宋体" w:hAnsi="宋体" w:eastAsia="宋体" w:cs="宋体"/>
                <w:color w:val="auto"/>
                <w:sz w:val="21"/>
                <w:szCs w:val="21"/>
                <w:lang w:eastAsia="zh-CN"/>
              </w:rPr>
              <w:t>。</w:t>
            </w:r>
          </w:p>
          <w:p>
            <w:pPr>
              <w:spacing w:line="280" w:lineRule="exact"/>
              <w:ind w:firstLine="420" w:firstLineChars="200"/>
              <w:rPr>
                <w:szCs w:val="21"/>
              </w:rPr>
            </w:pPr>
            <w:r>
              <w:rPr>
                <w:rFonts w:hint="eastAsia" w:ascii="宋体" w:hAnsi="宋体" w:eastAsia="宋体" w:cs="宋体"/>
                <w:color w:val="auto"/>
                <w:sz w:val="21"/>
                <w:szCs w:val="21"/>
                <w:lang w:eastAsia="zh-CN"/>
              </w:rPr>
              <w:t>危险源识别经核实基本齐全</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评价基本合理</w:t>
            </w:r>
            <w:r>
              <w:rPr>
                <w:rFonts w:hint="eastAsia" w:ascii="宋体" w:hAnsi="宋体" w:eastAsia="宋体" w:cs="宋体"/>
                <w:color w:val="auto"/>
                <w:sz w:val="21"/>
                <w:szCs w:val="21"/>
                <w:lang w:eastAsia="zh-CN"/>
              </w:rPr>
              <w:t>。</w:t>
            </w: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rFonts w:hint="eastAsia"/>
                <w:szCs w:val="21"/>
                <w:lang w:val="en-US" w:eastAsia="zh-CN"/>
              </w:rPr>
              <w:t>O</w:t>
            </w:r>
            <w:r>
              <w:rPr>
                <w:rFonts w:hint="eastAsia"/>
                <w:szCs w:val="21"/>
              </w:rPr>
              <w:t>8.1</w:t>
            </w:r>
          </w:p>
          <w:p/>
        </w:tc>
        <w:tc>
          <w:tcPr>
            <w:tcW w:w="10694" w:type="dxa"/>
            <w:vAlign w:val="center"/>
          </w:tcPr>
          <w:p>
            <w:pPr>
              <w:ind w:firstLine="420" w:firstLineChars="200"/>
              <w:rPr>
                <w:szCs w:val="21"/>
              </w:rPr>
            </w:pPr>
            <w:r>
              <w:rPr>
                <w:rFonts w:hint="eastAsia"/>
                <w:szCs w:val="21"/>
              </w:rPr>
              <w:t>本部门执行化学危险品控制程序、废弃物控制程序、环境运行控制程序等。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hint="default" w:ascii="宋体" w:hAnsi="宋体" w:eastAsia="宋体" w:cs="宋体"/>
                <w:szCs w:val="21"/>
                <w:lang w:val="en-US" w:eastAsia="zh-CN"/>
              </w:rPr>
            </w:pPr>
            <w:r>
              <w:rPr>
                <w:rFonts w:hint="eastAsia" w:ascii="宋体" w:hAnsi="宋体" w:cs="宋体"/>
                <w:szCs w:val="21"/>
                <w:lang w:val="en-GB"/>
              </w:rPr>
              <w:t>办公用品按要求由</w:t>
            </w:r>
            <w:r>
              <w:rPr>
                <w:rFonts w:hint="eastAsia" w:ascii="宋体" w:hAnsi="宋体" w:cs="宋体"/>
                <w:szCs w:val="21"/>
              </w:rPr>
              <w:t>行政</w:t>
            </w:r>
            <w:r>
              <w:rPr>
                <w:rFonts w:hint="eastAsia" w:ascii="宋体" w:hAnsi="宋体" w:cs="宋体"/>
                <w:szCs w:val="21"/>
                <w:lang w:val="en-US" w:eastAsia="zh-CN"/>
              </w:rPr>
              <w:t>部</w:t>
            </w:r>
            <w:r>
              <w:rPr>
                <w:rFonts w:hint="eastAsia" w:ascii="宋体" w:hAnsi="宋体" w:cs="宋体"/>
                <w:szCs w:val="21"/>
                <w:lang w:val="en-GB"/>
              </w:rPr>
              <w:t>负责发放，作好记录</w:t>
            </w:r>
            <w:r>
              <w:rPr>
                <w:rFonts w:hint="eastAsia" w:ascii="宋体" w:hAnsi="宋体" w:cs="宋体"/>
                <w:szCs w:val="21"/>
                <w:lang w:val="en-GB" w:eastAsia="zh-CN"/>
              </w:rPr>
              <w:t>，</w:t>
            </w:r>
            <w:r>
              <w:rPr>
                <w:rFonts w:hint="eastAsia" w:ascii="宋体" w:hAnsi="宋体" w:cs="宋体"/>
                <w:szCs w:val="21"/>
                <w:lang w:val="en-US" w:eastAsia="zh-CN"/>
              </w:rPr>
              <w:t>以旧换新，办公废弃物按行政部分类容器分类投放，统一由行政部收集、处理</w:t>
            </w:r>
            <w:r>
              <w:rPr>
                <w:rFonts w:hint="eastAsia" w:ascii="宋体" w:hAnsi="宋体" w:cs="宋体"/>
                <w:szCs w:val="21"/>
                <w:lang w:val="en-GB"/>
              </w:rPr>
              <w:t>；</w:t>
            </w:r>
            <w:r>
              <w:rPr>
                <w:rFonts w:hint="eastAsia" w:ascii="宋体" w:hAnsi="宋体" w:cs="宋体"/>
                <w:szCs w:val="21"/>
                <w:lang w:val="en-US" w:eastAsia="zh-CN"/>
              </w:rPr>
              <w:t>节约水、电消耗，现场没有发现浪费现象。</w:t>
            </w:r>
          </w:p>
          <w:p>
            <w:pPr>
              <w:ind w:firstLine="420" w:firstLineChars="200"/>
              <w:jc w:val="left"/>
              <w:rPr>
                <w:rFonts w:hint="eastAsia"/>
                <w:szCs w:val="21"/>
                <w:lang w:val="en-GB"/>
              </w:rPr>
            </w:pPr>
            <w:r>
              <w:rPr>
                <w:rFonts w:hint="eastAsia" w:ascii="宋体" w:hAnsi="宋体" w:cs="宋体"/>
                <w:szCs w:val="21"/>
                <w:lang w:val="en-GB"/>
              </w:rPr>
              <w:t>相关方施加影响：公司识别了相关方的环境因素，并进行了控制。</w:t>
            </w:r>
          </w:p>
          <w:p>
            <w:pPr>
              <w:pStyle w:val="2"/>
              <w:ind w:firstLine="460" w:firstLineChars="200"/>
              <w:jc w:val="left"/>
              <w:rPr>
                <w:rFonts w:hint="eastAsia"/>
                <w:szCs w:val="21"/>
                <w:lang w:eastAsia="zh-CN"/>
              </w:rPr>
            </w:pPr>
            <w:r>
              <w:rPr>
                <w:rFonts w:hint="eastAsia"/>
                <w:szCs w:val="21"/>
              </w:rPr>
              <w:t>提供了环境管理方案实施情况检查记录表，抽查：火灾的控制措施实施情况</w:t>
            </w:r>
            <w:r>
              <w:rPr>
                <w:rFonts w:hint="eastAsia"/>
                <w:szCs w:val="21"/>
                <w:lang w:eastAsia="zh-CN"/>
              </w:rPr>
              <w:t>。</w:t>
            </w:r>
            <w:r>
              <w:rPr>
                <w:rFonts w:hint="eastAsia"/>
                <w:szCs w:val="21"/>
                <w:lang w:eastAsia="zh-CN"/>
              </w:rPr>
              <w:drawing>
                <wp:inline distT="0" distB="0" distL="114300" distR="114300">
                  <wp:extent cx="4848225" cy="1953895"/>
                  <wp:effectExtent l="0" t="0" r="9525" b="8255"/>
                  <wp:docPr id="3" name="图片 3" descr="微信图片_2021073115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31154841"/>
                          <pic:cNvPicPr>
                            <a:picLocks noChangeAspect="1"/>
                          </pic:cNvPicPr>
                        </pic:nvPicPr>
                        <pic:blipFill>
                          <a:blip r:embed="rId6"/>
                          <a:stretch>
                            <a:fillRect/>
                          </a:stretch>
                        </pic:blipFill>
                        <pic:spPr>
                          <a:xfrm>
                            <a:off x="0" y="0"/>
                            <a:ext cx="4848225" cy="19538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，完整有效，每半年有检查，符合要求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为员工缴纳意外保险。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highlight w:val="yellow"/>
                <w:lang w:val="en-US" w:eastAsia="zh-CN"/>
              </w:rPr>
            </w:pPr>
            <w:r>
              <w:rPr>
                <w:rFonts w:hint="eastAsia" w:ascii="宋体" w:hAnsi="宋体" w:cs="宋体"/>
                <w:color w:val="auto"/>
                <w:sz w:val="21"/>
                <w:szCs w:val="21"/>
                <w:lang w:val="en-US" w:eastAsia="zh-CN"/>
              </w:rPr>
              <w:t>职业健康安全采购：采购的职业健康安全物品要求必须是正规的需要时有安全认证标志和合格证等。</w:t>
            </w:r>
          </w:p>
          <w:p>
            <w:pPr>
              <w:pStyle w:val="2"/>
              <w:ind w:firstLine="460" w:firstLineChars="200"/>
              <w:rPr>
                <w:rFonts w:hint="eastAsia"/>
                <w:szCs w:val="21"/>
                <w:lang w:eastAsia="zh-CN"/>
              </w:rPr>
            </w:pPr>
            <w:r>
              <w:rPr>
                <w:rFonts w:hint="eastAsia" w:ascii="宋体" w:hAnsi="宋体" w:cs="宋体"/>
                <w:color w:val="auto"/>
                <w:sz w:val="21"/>
                <w:szCs w:val="21"/>
                <w:lang w:val="en-US" w:eastAsia="zh-CN"/>
              </w:rPr>
              <w:t>运行控制基本符合要求。</w:t>
            </w: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外部提供过程、产品和服务的控制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8.4</w:t>
            </w:r>
          </w:p>
        </w:tc>
        <w:tc>
          <w:tcPr>
            <w:tcW w:w="106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公司规定了供方选择和评定的方法、职责、要求和流程，明确了在下列情况下，组织应确定对外部提供的过程、</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实施的控制：a) 外部供方的过程、</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构成组织自身的</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的一部分；b) 外部供方替组织直接将</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提供给顾客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c) 组织决定由外部供方提供过程或部分过程。公司另外还编制了《供方质量</w:t>
            </w:r>
            <w:r>
              <w:rPr>
                <w:rFonts w:hint="eastAsia" w:ascii="宋体" w:hAnsi="宋体" w:eastAsia="宋体" w:cs="宋体"/>
                <w:color w:val="auto"/>
                <w:sz w:val="21"/>
                <w:szCs w:val="21"/>
                <w:highlight w:val="none"/>
                <w:lang w:eastAsia="zh-CN"/>
              </w:rPr>
              <w:t>管理制度</w:t>
            </w:r>
            <w:r>
              <w:rPr>
                <w:rFonts w:hint="eastAsia" w:ascii="宋体" w:hAnsi="宋体" w:eastAsia="宋体" w:cs="宋体"/>
                <w:color w:val="auto"/>
                <w:sz w:val="21"/>
                <w:szCs w:val="21"/>
                <w:highlight w:val="none"/>
              </w:rPr>
              <w:t>》，明确了基于外部供方提供所要求的过程、</w:t>
            </w:r>
            <w:r>
              <w:rPr>
                <w:rFonts w:hint="eastAsia" w:ascii="宋体" w:hAnsi="宋体" w:cs="宋体"/>
                <w:color w:val="auto"/>
                <w:sz w:val="21"/>
                <w:szCs w:val="21"/>
                <w:highlight w:val="none"/>
                <w:lang w:eastAsia="zh-CN"/>
              </w:rPr>
              <w:t>生产</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lang w:val="en-US" w:eastAsia="zh-CN"/>
              </w:rPr>
            </w:pPr>
            <w:r>
              <w:rPr>
                <w:rFonts w:hint="eastAsia" w:ascii="宋体" w:hAnsi="宋体" w:cs="宋体"/>
                <w:bCs/>
                <w:szCs w:val="21"/>
                <w:lang w:val="en-US" w:eastAsia="zh-CN"/>
              </w:rPr>
              <w:t>抽查订货合同：签订日期2021.4.19；供方名称：福州上华防火设备有限公司；采购名称：乙级钢质防火门，总价值216519元。签订日期2021.5.111；供方名称：福州上华防火设备有限公司；采购名称：乙级钢质防火门，总价值201096元。相应的收货条款满足对供应商的质量控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bCs/>
                <w:szCs w:val="21"/>
                <w:lang w:val="en-US" w:eastAsia="zh-CN"/>
              </w:rPr>
              <w:t>1、</w:t>
            </w:r>
            <w:r>
              <w:rPr>
                <w:rFonts w:hint="eastAsia" w:ascii="宋体" w:hAnsi="宋体" w:cs="宋体"/>
                <w:bCs/>
                <w:szCs w:val="21"/>
              </w:rPr>
              <w:t>抽查供应商</w:t>
            </w:r>
            <w:r>
              <w:rPr>
                <w:rFonts w:hint="eastAsia" w:ascii="宋体" w:hAnsi="宋体" w:cs="宋体"/>
                <w:bCs/>
                <w:szCs w:val="21"/>
                <w:lang w:val="en-US" w:eastAsia="zh-CN"/>
              </w:rPr>
              <w:t>评价</w:t>
            </w:r>
            <w:r>
              <w:rPr>
                <w:rFonts w:hint="eastAsia" w:ascii="宋体" w:hAnsi="宋体" w:cs="宋体"/>
                <w:bCs/>
                <w:szCs w:val="21"/>
              </w:rPr>
              <w:t>表，供应商名称为福州上华防火设备有限公司</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eastAsia="zh-CN"/>
              </w:rPr>
              <w:t>主要供应产品：</w:t>
            </w:r>
            <w:r>
              <w:rPr>
                <w:rFonts w:hint="eastAsia" w:ascii="宋体" w:hAnsi="宋体" w:cs="宋体"/>
                <w:color w:val="auto"/>
                <w:sz w:val="21"/>
                <w:szCs w:val="21"/>
                <w:lang w:val="en-US" w:eastAsia="zh-CN"/>
              </w:rPr>
              <w:t>钢质</w:t>
            </w:r>
            <w:r>
              <w:rPr>
                <w:rFonts w:hint="eastAsia" w:ascii="宋体" w:hAnsi="宋体" w:cs="宋体"/>
                <w:color w:val="auto"/>
                <w:sz w:val="21"/>
                <w:szCs w:val="21"/>
                <w:lang w:eastAsia="zh-CN"/>
              </w:rPr>
              <w:t>防火门、防盗门；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ascii="宋体" w:hAnsi="宋体" w:cs="宋体"/>
                <w:bCs/>
                <w:szCs w:val="21"/>
              </w:rPr>
            </w:pPr>
            <w:r>
              <w:rPr>
                <w:rFonts w:hint="eastAsia" w:ascii="宋体" w:hAnsi="宋体" w:cs="宋体"/>
                <w:color w:val="auto"/>
                <w:sz w:val="21"/>
                <w:szCs w:val="21"/>
                <w:lang w:eastAsia="zh-CN"/>
              </w:rPr>
              <w:t>调查内容：</w:t>
            </w:r>
            <w:r>
              <w:rPr>
                <w:rFonts w:hint="eastAsia" w:ascii="宋体" w:hAnsi="宋体" w:cs="宋体"/>
                <w:color w:val="auto"/>
                <w:sz w:val="21"/>
                <w:szCs w:val="21"/>
                <w:lang w:val="en-US" w:eastAsia="zh-CN"/>
              </w:rPr>
              <w:t>供货能力</w:t>
            </w:r>
            <w:r>
              <w:rPr>
                <w:rFonts w:hint="eastAsia" w:ascii="宋体" w:hAnsi="宋体" w:cs="宋体"/>
                <w:bCs/>
                <w:szCs w:val="21"/>
              </w:rPr>
              <w:t>、</w:t>
            </w:r>
            <w:r>
              <w:rPr>
                <w:rFonts w:hint="eastAsia" w:ascii="宋体" w:hAnsi="宋体" w:cs="宋体"/>
                <w:bCs/>
                <w:szCs w:val="21"/>
                <w:lang w:val="en-US" w:eastAsia="zh-CN"/>
              </w:rPr>
              <w:t>价格合理程度</w:t>
            </w:r>
            <w:r>
              <w:rPr>
                <w:rFonts w:hint="eastAsia" w:ascii="宋体" w:hAnsi="宋体" w:cs="宋体"/>
                <w:bCs/>
                <w:szCs w:val="21"/>
              </w:rPr>
              <w:t>、</w:t>
            </w:r>
            <w:r>
              <w:rPr>
                <w:rFonts w:hint="eastAsia" w:ascii="宋体" w:hAnsi="宋体" w:cs="宋体"/>
                <w:bCs/>
                <w:szCs w:val="21"/>
                <w:lang w:val="en-US" w:eastAsia="zh-CN"/>
              </w:rPr>
              <w:t>售后服务、产品质量</w:t>
            </w:r>
            <w:r>
              <w:rPr>
                <w:rFonts w:hint="eastAsia" w:ascii="宋体" w:hAnsi="宋体" w:cs="宋体"/>
                <w:bCs/>
                <w:szCs w:val="21"/>
              </w:rPr>
              <w:t>等</w:t>
            </w:r>
          </w:p>
          <w:p>
            <w:pPr>
              <w:ind w:firstLine="420" w:firstLineChars="200"/>
              <w:rPr>
                <w:rFonts w:ascii="宋体" w:hAnsi="宋体" w:cs="宋体"/>
                <w:bCs/>
                <w:szCs w:val="21"/>
              </w:rPr>
            </w:pPr>
            <w:r>
              <w:rPr>
                <w:rFonts w:hint="eastAsia" w:ascii="宋体" w:hAnsi="宋体" w:cs="宋体"/>
                <w:bCs/>
                <w:szCs w:val="21"/>
              </w:rPr>
              <w:t>评审意见：供货能力、质量控制能力、管理能力、综合能力合格，达到了公司要求。</w:t>
            </w:r>
          </w:p>
          <w:p>
            <w:pPr>
              <w:ind w:firstLine="420" w:firstLineChars="200"/>
              <w:rPr>
                <w:rFonts w:hint="eastAsia" w:ascii="宋体" w:hAnsi="宋体" w:cs="宋体"/>
                <w:bCs/>
                <w:szCs w:val="21"/>
                <w:lang w:eastAsia="zh-CN"/>
              </w:rPr>
            </w:pPr>
            <w:r>
              <w:rPr>
                <w:rFonts w:hint="eastAsia" w:ascii="宋体" w:hAnsi="宋体" w:cs="宋体"/>
                <w:bCs/>
                <w:szCs w:val="21"/>
              </w:rPr>
              <w:t>评估人：</w:t>
            </w:r>
            <w:r>
              <w:rPr>
                <w:rFonts w:hint="eastAsia" w:ascii="Arial" w:hAnsi="Arial" w:cs="Arial"/>
                <w:color w:val="000000"/>
              </w:rPr>
              <w:t>陈春华、倪燕华、许婷、邹建芳</w:t>
            </w:r>
            <w:r>
              <w:rPr>
                <w:rFonts w:hint="eastAsia" w:ascii="宋体" w:hAnsi="宋体" w:cs="宋体"/>
                <w:bCs/>
                <w:szCs w:val="21"/>
              </w:rPr>
              <w:t>，批准人：</w:t>
            </w:r>
            <w:r>
              <w:rPr>
                <w:rFonts w:hint="eastAsia" w:ascii="宋体" w:hAnsi="宋体" w:cs="宋体"/>
                <w:bCs/>
                <w:szCs w:val="21"/>
                <w:lang w:val="en-US" w:eastAsia="zh-CN"/>
              </w:rPr>
              <w:t>黄新元</w:t>
            </w:r>
            <w:r>
              <w:rPr>
                <w:rFonts w:hint="eastAsia" w:ascii="宋体" w:hAnsi="宋体" w:cs="宋体"/>
                <w:bCs/>
                <w:szCs w:val="21"/>
              </w:rPr>
              <w:t>，时间</w:t>
            </w:r>
            <w:r>
              <w:rPr>
                <w:rFonts w:hint="eastAsia" w:ascii="宋体" w:hAnsi="宋体" w:cs="宋体"/>
                <w:bCs/>
                <w:szCs w:val="21"/>
                <w:lang w:eastAsia="zh-CN"/>
              </w:rPr>
              <w:t>：</w:t>
            </w:r>
            <w:r>
              <w:rPr>
                <w:rFonts w:hint="eastAsia" w:ascii="宋体" w:hAnsi="宋体" w:cs="宋体"/>
                <w:bCs/>
                <w:szCs w:val="21"/>
              </w:rPr>
              <w:t>2</w:t>
            </w:r>
            <w:r>
              <w:rPr>
                <w:rFonts w:ascii="宋体" w:hAnsi="宋体" w:cs="宋体"/>
                <w:bCs/>
                <w:szCs w:val="21"/>
              </w:rPr>
              <w:t>02</w:t>
            </w:r>
            <w:r>
              <w:rPr>
                <w:rFonts w:hint="eastAsia" w:ascii="宋体" w:hAnsi="宋体" w:cs="宋体"/>
                <w:bCs/>
                <w:szCs w:val="21"/>
                <w:lang w:val="en-US" w:eastAsia="zh-CN"/>
              </w:rPr>
              <w:t>1</w:t>
            </w:r>
            <w:r>
              <w:rPr>
                <w:rFonts w:ascii="宋体" w:hAnsi="宋体" w:cs="宋体"/>
                <w:bCs/>
                <w:szCs w:val="21"/>
              </w:rPr>
              <w:t>.</w:t>
            </w:r>
            <w:r>
              <w:rPr>
                <w:rFonts w:hint="eastAsia" w:ascii="宋体" w:hAnsi="宋体" w:cs="宋体"/>
                <w:bCs/>
                <w:szCs w:val="21"/>
                <w:lang w:val="en-US" w:eastAsia="zh-CN"/>
              </w:rPr>
              <w:t>2</w:t>
            </w:r>
            <w:r>
              <w:rPr>
                <w:rFonts w:ascii="宋体" w:hAnsi="宋体" w:cs="宋体"/>
                <w:bCs/>
                <w:szCs w:val="21"/>
              </w:rPr>
              <w:t>.1</w:t>
            </w:r>
            <w:r>
              <w:rPr>
                <w:rFonts w:hint="eastAsia" w:ascii="宋体" w:hAnsi="宋体" w:cs="宋体"/>
                <w:bCs/>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bCs/>
                <w:szCs w:val="21"/>
                <w:lang w:val="en-US" w:eastAsia="zh-CN"/>
              </w:rPr>
              <w:t>1、</w:t>
            </w:r>
            <w:r>
              <w:rPr>
                <w:rFonts w:hint="eastAsia" w:ascii="宋体" w:hAnsi="宋体" w:cs="宋体"/>
                <w:bCs/>
                <w:szCs w:val="21"/>
              </w:rPr>
              <w:t>抽查供应商</w:t>
            </w:r>
            <w:r>
              <w:rPr>
                <w:rFonts w:hint="eastAsia" w:ascii="宋体" w:hAnsi="宋体" w:cs="宋体"/>
                <w:bCs/>
                <w:szCs w:val="21"/>
                <w:lang w:val="en-US" w:eastAsia="zh-CN"/>
              </w:rPr>
              <w:t>评价</w:t>
            </w:r>
            <w:r>
              <w:rPr>
                <w:rFonts w:hint="eastAsia" w:ascii="宋体" w:hAnsi="宋体" w:cs="宋体"/>
                <w:bCs/>
                <w:szCs w:val="21"/>
              </w:rPr>
              <w:t>表，供应商名称为</w:t>
            </w:r>
            <w:r>
              <w:rPr>
                <w:rFonts w:hint="eastAsia" w:ascii="宋体" w:hAnsi="宋体" w:cs="宋体"/>
                <w:bCs/>
                <w:szCs w:val="21"/>
                <w:lang w:val="en-US" w:eastAsia="zh-CN"/>
              </w:rPr>
              <w:t>晋江市博畅钢铁贸易</w:t>
            </w:r>
            <w:r>
              <w:rPr>
                <w:rFonts w:hint="eastAsia" w:ascii="宋体" w:hAnsi="宋体" w:cs="宋体"/>
                <w:bCs/>
                <w:szCs w:val="21"/>
              </w:rPr>
              <w:t>有限公司</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eastAsia="zh-CN"/>
              </w:rPr>
              <w:t>主要供应产品：</w:t>
            </w:r>
            <w:r>
              <w:rPr>
                <w:rFonts w:hint="eastAsia" w:ascii="宋体" w:hAnsi="宋体" w:cs="宋体"/>
                <w:color w:val="auto"/>
                <w:sz w:val="21"/>
                <w:szCs w:val="21"/>
                <w:lang w:val="en-US" w:eastAsia="zh-CN"/>
              </w:rPr>
              <w:t>冷轧镀锌钢板</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ascii="宋体" w:hAnsi="宋体" w:cs="宋体"/>
                <w:bCs/>
                <w:szCs w:val="21"/>
              </w:rPr>
            </w:pPr>
            <w:r>
              <w:rPr>
                <w:rFonts w:hint="eastAsia" w:ascii="宋体" w:hAnsi="宋体" w:cs="宋体"/>
                <w:color w:val="auto"/>
                <w:sz w:val="21"/>
                <w:szCs w:val="21"/>
                <w:lang w:eastAsia="zh-CN"/>
              </w:rPr>
              <w:t>调查内容：</w:t>
            </w:r>
            <w:r>
              <w:rPr>
                <w:rFonts w:hint="eastAsia" w:ascii="宋体" w:hAnsi="宋体" w:cs="宋体"/>
                <w:color w:val="auto"/>
                <w:sz w:val="21"/>
                <w:szCs w:val="21"/>
                <w:lang w:val="en-US" w:eastAsia="zh-CN"/>
              </w:rPr>
              <w:t>供货能力</w:t>
            </w:r>
            <w:r>
              <w:rPr>
                <w:rFonts w:hint="eastAsia" w:ascii="宋体" w:hAnsi="宋体" w:cs="宋体"/>
                <w:bCs/>
                <w:szCs w:val="21"/>
              </w:rPr>
              <w:t>、</w:t>
            </w:r>
            <w:r>
              <w:rPr>
                <w:rFonts w:hint="eastAsia" w:ascii="宋体" w:hAnsi="宋体" w:cs="宋体"/>
                <w:bCs/>
                <w:szCs w:val="21"/>
                <w:lang w:val="en-US" w:eastAsia="zh-CN"/>
              </w:rPr>
              <w:t>价格合理程度</w:t>
            </w:r>
            <w:r>
              <w:rPr>
                <w:rFonts w:hint="eastAsia" w:ascii="宋体" w:hAnsi="宋体" w:cs="宋体"/>
                <w:bCs/>
                <w:szCs w:val="21"/>
              </w:rPr>
              <w:t>、</w:t>
            </w:r>
            <w:r>
              <w:rPr>
                <w:rFonts w:hint="eastAsia" w:ascii="宋体" w:hAnsi="宋体" w:cs="宋体"/>
                <w:bCs/>
                <w:szCs w:val="21"/>
                <w:lang w:val="en-US" w:eastAsia="zh-CN"/>
              </w:rPr>
              <w:t>售后服务、产品质量</w:t>
            </w:r>
            <w:r>
              <w:rPr>
                <w:rFonts w:hint="eastAsia" w:ascii="宋体" w:hAnsi="宋体" w:cs="宋体"/>
                <w:bCs/>
                <w:szCs w:val="21"/>
              </w:rPr>
              <w:t>等</w:t>
            </w:r>
          </w:p>
          <w:p>
            <w:pPr>
              <w:ind w:firstLine="420" w:firstLineChars="200"/>
              <w:rPr>
                <w:rFonts w:ascii="宋体" w:hAnsi="宋体" w:cs="宋体"/>
                <w:bCs/>
                <w:szCs w:val="21"/>
              </w:rPr>
            </w:pPr>
            <w:r>
              <w:rPr>
                <w:rFonts w:hint="eastAsia" w:ascii="宋体" w:hAnsi="宋体" w:cs="宋体"/>
                <w:bCs/>
                <w:szCs w:val="21"/>
              </w:rPr>
              <w:t>评审意见：供货能力、质量控制能力、管理能力、综合能力合格，达到了公司要求。</w:t>
            </w:r>
          </w:p>
          <w:p>
            <w:pPr>
              <w:ind w:firstLine="420" w:firstLineChars="200"/>
              <w:rPr>
                <w:rFonts w:hint="eastAsia"/>
                <w:lang w:eastAsia="zh-CN"/>
              </w:rPr>
            </w:pPr>
            <w:r>
              <w:rPr>
                <w:rFonts w:hint="eastAsia" w:ascii="宋体" w:hAnsi="宋体" w:cs="宋体"/>
                <w:bCs/>
                <w:szCs w:val="21"/>
              </w:rPr>
              <w:t>评估人：</w:t>
            </w:r>
            <w:r>
              <w:rPr>
                <w:rFonts w:hint="eastAsia" w:ascii="Arial" w:hAnsi="Arial" w:cs="Arial"/>
                <w:color w:val="000000"/>
              </w:rPr>
              <w:t>陈春华、倪燕华、许婷、邹建芳</w:t>
            </w:r>
            <w:r>
              <w:rPr>
                <w:rFonts w:hint="eastAsia" w:ascii="宋体" w:hAnsi="宋体" w:cs="宋体"/>
                <w:bCs/>
                <w:szCs w:val="21"/>
              </w:rPr>
              <w:t>，批准人：</w:t>
            </w:r>
            <w:r>
              <w:rPr>
                <w:rFonts w:hint="eastAsia" w:ascii="宋体" w:hAnsi="宋体" w:cs="宋体"/>
                <w:bCs/>
                <w:szCs w:val="21"/>
                <w:lang w:val="en-US" w:eastAsia="zh-CN"/>
              </w:rPr>
              <w:t>黄新元</w:t>
            </w:r>
            <w:r>
              <w:rPr>
                <w:rFonts w:hint="eastAsia" w:ascii="宋体" w:hAnsi="宋体" w:cs="宋体"/>
                <w:bCs/>
                <w:szCs w:val="21"/>
              </w:rPr>
              <w:t>，时间</w:t>
            </w:r>
            <w:r>
              <w:rPr>
                <w:rFonts w:hint="eastAsia" w:ascii="宋体" w:hAnsi="宋体" w:cs="宋体"/>
                <w:bCs/>
                <w:szCs w:val="21"/>
                <w:lang w:eastAsia="zh-CN"/>
              </w:rPr>
              <w:t>：</w:t>
            </w:r>
            <w:r>
              <w:rPr>
                <w:rFonts w:hint="eastAsia" w:ascii="宋体" w:hAnsi="宋体" w:cs="宋体"/>
                <w:bCs/>
                <w:szCs w:val="21"/>
              </w:rPr>
              <w:t>2</w:t>
            </w:r>
            <w:r>
              <w:rPr>
                <w:rFonts w:ascii="宋体" w:hAnsi="宋体" w:cs="宋体"/>
                <w:bCs/>
                <w:szCs w:val="21"/>
              </w:rPr>
              <w:t>02</w:t>
            </w:r>
            <w:r>
              <w:rPr>
                <w:rFonts w:hint="eastAsia" w:ascii="宋体" w:hAnsi="宋体" w:cs="宋体"/>
                <w:bCs/>
                <w:szCs w:val="21"/>
                <w:lang w:val="en-US" w:eastAsia="zh-CN"/>
              </w:rPr>
              <w:t>1</w:t>
            </w:r>
            <w:r>
              <w:rPr>
                <w:rFonts w:ascii="宋体" w:hAnsi="宋体" w:cs="宋体"/>
                <w:bCs/>
                <w:szCs w:val="21"/>
              </w:rPr>
              <w:t>.</w:t>
            </w:r>
            <w:r>
              <w:rPr>
                <w:rFonts w:hint="eastAsia" w:ascii="宋体" w:hAnsi="宋体" w:cs="宋体"/>
                <w:bCs/>
                <w:szCs w:val="21"/>
                <w:lang w:val="en-US" w:eastAsia="zh-CN"/>
              </w:rPr>
              <w:t>5</w:t>
            </w:r>
            <w:r>
              <w:rPr>
                <w:rFonts w:ascii="宋体" w:hAnsi="宋体" w:cs="宋体"/>
                <w:bCs/>
                <w:szCs w:val="21"/>
              </w:rPr>
              <w:t>.</w:t>
            </w:r>
            <w:r>
              <w:rPr>
                <w:rFonts w:hint="eastAsia" w:ascii="宋体" w:hAnsi="宋体" w:cs="宋体"/>
                <w:bCs/>
                <w:szCs w:val="21"/>
                <w:lang w:val="en-US" w:eastAsia="zh-CN"/>
              </w:rPr>
              <w:t>14</w:t>
            </w:r>
            <w:r>
              <w:rPr>
                <w:rFonts w:hint="eastAsia" w:ascii="宋体" w:hAnsi="宋体" w:cs="宋体"/>
                <w:bCs/>
                <w:szCs w:val="21"/>
                <w:lang w:eastAsia="zh-CN"/>
              </w:rPr>
              <w:t>。</w:t>
            </w:r>
          </w:p>
          <w:p>
            <w:pPr>
              <w:pStyle w:val="2"/>
              <w:ind w:firstLine="460" w:firstLineChars="200"/>
              <w:rPr>
                <w:rFonts w:hint="default" w:eastAsia="宋体"/>
                <w:lang w:val="en-US" w:eastAsia="zh-CN"/>
              </w:rPr>
            </w:pPr>
            <w:r>
              <w:rPr>
                <w:rFonts w:hint="eastAsia" w:ascii="宋体" w:hAnsi="宋体" w:cs="宋体"/>
                <w:bCs/>
                <w:szCs w:val="21"/>
                <w:lang w:val="en-US" w:eastAsia="zh-CN"/>
              </w:rPr>
              <w:t>抽查供方产品验证单：确保外部提供产品和服务满足要求。</w:t>
            </w:r>
            <w:r>
              <w:rPr>
                <w:rFonts w:hint="default" w:eastAsia="宋体"/>
                <w:lang w:val="en-US" w:eastAsia="zh-CN"/>
              </w:rPr>
              <w:drawing>
                <wp:inline distT="0" distB="0" distL="114300" distR="114300">
                  <wp:extent cx="1549400" cy="1830705"/>
                  <wp:effectExtent l="0" t="0" r="12700" b="17145"/>
                  <wp:docPr id="4" name="图片 4" descr="微信图片_2021073116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731164658"/>
                          <pic:cNvPicPr>
                            <a:picLocks noChangeAspect="1"/>
                          </pic:cNvPicPr>
                        </pic:nvPicPr>
                        <pic:blipFill>
                          <a:blip r:embed="rId7"/>
                          <a:stretch>
                            <a:fillRect/>
                          </a:stretch>
                        </pic:blipFill>
                        <pic:spPr>
                          <a:xfrm>
                            <a:off x="0" y="0"/>
                            <a:ext cx="1549400" cy="1830705"/>
                          </a:xfrm>
                          <a:prstGeom prst="rect">
                            <a:avLst/>
                          </a:prstGeom>
                        </pic:spPr>
                      </pic:pic>
                    </a:graphicData>
                  </a:graphic>
                </wp:inline>
              </w:drawing>
            </w:r>
            <w:bookmarkStart w:id="0" w:name="_GoBack"/>
            <w:bookmarkEnd w:id="0"/>
          </w:p>
          <w:p>
            <w:pPr>
              <w:ind w:firstLine="420" w:firstLineChars="200"/>
              <w:rPr>
                <w:rFonts w:ascii="宋体" w:hAnsi="宋体" w:cs="宋体"/>
                <w:bCs/>
                <w:szCs w:val="21"/>
              </w:rPr>
            </w:pPr>
          </w:p>
        </w:tc>
        <w:tc>
          <w:tcPr>
            <w:tcW w:w="89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adjustRightInd w:val="0"/>
              <w:snapToGrid w:val="0"/>
              <w:spacing w:line="240" w:lineRule="exact"/>
              <w:ind w:right="105" w:rightChars="50"/>
              <w:jc w:val="left"/>
              <w:textAlignment w:val="baseline"/>
              <w:rPr>
                <w:rFonts w:ascii="宋体" w:hAnsi="宋体" w:cs="Arial"/>
                <w:sz w:val="21"/>
                <w:szCs w:val="21"/>
              </w:rPr>
            </w:pPr>
            <w:r>
              <w:rPr>
                <w:rFonts w:hint="eastAsia" w:ascii="宋体" w:hAnsi="宋体" w:cs="Arial"/>
                <w:sz w:val="21"/>
                <w:szCs w:val="21"/>
              </w:rPr>
              <w:t>顾客或外部供方的财产</w:t>
            </w:r>
          </w:p>
          <w:p>
            <w:pPr>
              <w:rPr>
                <w:rFonts w:hint="default" w:asciiTheme="minorEastAsia" w:hAnsiTheme="minorEastAsia" w:eastAsiaTheme="minorEastAsia" w:cstheme="minorEastAsia"/>
                <w:szCs w:val="21"/>
                <w:lang w:val="en-US" w:eastAsia="zh-CN"/>
              </w:rPr>
            </w:pPr>
          </w:p>
        </w:tc>
        <w:tc>
          <w:tcPr>
            <w:tcW w:w="960"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Q8.5.3</w:t>
            </w:r>
          </w:p>
        </w:tc>
        <w:tc>
          <w:tcPr>
            <w:tcW w:w="10694" w:type="dxa"/>
            <w:vAlign w:val="center"/>
          </w:tcPr>
          <w:p>
            <w:pPr>
              <w:ind w:firstLine="420" w:firstLineChars="200"/>
              <w:rPr>
                <w:rFonts w:hint="eastAsia" w:ascii="宋体" w:hAnsi="宋体" w:cs="宋体"/>
                <w:bCs/>
                <w:szCs w:val="21"/>
              </w:rPr>
            </w:pPr>
            <w:r>
              <w:rPr>
                <w:rFonts w:hint="eastAsia" w:ascii="宋体" w:hAnsi="宋体" w:cs="宋体"/>
                <w:bCs/>
                <w:szCs w:val="21"/>
              </w:rPr>
              <w:t>公司在管理手册中，规定了对顾客或外部供方财产的管理，明确了对顾客或外部供方财产的登记、验收、保护、使用、对顾客提供的技术资料（包括图纸）的识别、审核及相关证据获取等相关要求。</w:t>
            </w:r>
          </w:p>
          <w:p>
            <w:pPr>
              <w:ind w:firstLine="420" w:firstLineChars="200"/>
              <w:rPr>
                <w:rFonts w:hint="eastAsia" w:ascii="宋体" w:hAnsi="宋体" w:cs="宋体"/>
                <w:bCs/>
                <w:szCs w:val="21"/>
              </w:rPr>
            </w:pPr>
            <w:r>
              <w:rPr>
                <w:rFonts w:hint="eastAsia" w:ascii="宋体" w:hAnsi="宋体" w:cs="宋体"/>
                <w:bCs/>
                <w:szCs w:val="21"/>
              </w:rPr>
              <w:t>目前公司无外部供方的财产，涉及的顾客财产仅为顾客信息，公司对顾客相关信息做相关保密规定。</w:t>
            </w:r>
          </w:p>
          <w:p>
            <w:pPr>
              <w:ind w:firstLine="420" w:firstLineChars="200"/>
              <w:rPr>
                <w:rFonts w:hint="default" w:ascii="宋体" w:hAnsi="宋体" w:eastAsia="宋体" w:cs="宋体"/>
                <w:bCs/>
                <w:szCs w:val="21"/>
                <w:lang w:val="en-US" w:eastAsia="zh-CN"/>
              </w:rPr>
            </w:pPr>
            <w:r>
              <w:rPr>
                <w:rFonts w:hint="eastAsia" w:ascii="宋体" w:hAnsi="宋体" w:cs="宋体"/>
                <w:bCs/>
                <w:szCs w:val="21"/>
              </w:rPr>
              <w:t>顾客或外部供方的财产管理符合要求。</w:t>
            </w:r>
          </w:p>
        </w:tc>
        <w:tc>
          <w:tcPr>
            <w:tcW w:w="895" w:type="dxa"/>
          </w:tcPr>
          <w:p>
            <w:r>
              <w:rPr>
                <w:rFonts w:hint="eastAsia"/>
                <w:lang w:val="en-US" w:eastAsia="zh-CN"/>
              </w:rPr>
              <w:t>OK</w:t>
            </w:r>
          </w:p>
        </w:tc>
      </w:tr>
    </w:tbl>
    <w:p>
      <w:pPr>
        <w:jc w:val="left"/>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31</w:t>
                </w:r>
                <w:r>
                  <w:rPr>
                    <w:rFonts w:hint="eastAsia"/>
                    <w:sz w:val="18"/>
                    <w:szCs w:val="18"/>
                  </w:rPr>
                  <w:t xml:space="preserve"> 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10043"/>
    <w:multiLevelType w:val="multilevel"/>
    <w:tmpl w:val="66E100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87F0C"/>
    <w:rsid w:val="00193307"/>
    <w:rsid w:val="001A2D7F"/>
    <w:rsid w:val="001E6B5E"/>
    <w:rsid w:val="001F0932"/>
    <w:rsid w:val="002426BC"/>
    <w:rsid w:val="002539A0"/>
    <w:rsid w:val="002648F1"/>
    <w:rsid w:val="0028542A"/>
    <w:rsid w:val="00292C83"/>
    <w:rsid w:val="002B311A"/>
    <w:rsid w:val="002E1F88"/>
    <w:rsid w:val="003022CC"/>
    <w:rsid w:val="0031441A"/>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44D91"/>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2264A"/>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8776C"/>
    <w:rsid w:val="008973EE"/>
    <w:rsid w:val="008C2804"/>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811C1"/>
    <w:rsid w:val="00A87A78"/>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4046B"/>
    <w:rsid w:val="00D522CF"/>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18A43F0"/>
    <w:rsid w:val="01A24659"/>
    <w:rsid w:val="02282EC9"/>
    <w:rsid w:val="02B84719"/>
    <w:rsid w:val="02FA6253"/>
    <w:rsid w:val="032C3757"/>
    <w:rsid w:val="036603D4"/>
    <w:rsid w:val="04570E60"/>
    <w:rsid w:val="04617F72"/>
    <w:rsid w:val="04C04927"/>
    <w:rsid w:val="05B03DD7"/>
    <w:rsid w:val="05B11F2A"/>
    <w:rsid w:val="05B93102"/>
    <w:rsid w:val="06400A4B"/>
    <w:rsid w:val="06E01EC3"/>
    <w:rsid w:val="071132DC"/>
    <w:rsid w:val="07D34F45"/>
    <w:rsid w:val="08571156"/>
    <w:rsid w:val="09535250"/>
    <w:rsid w:val="09806D23"/>
    <w:rsid w:val="0ABD54CF"/>
    <w:rsid w:val="0B156FC6"/>
    <w:rsid w:val="0B256D46"/>
    <w:rsid w:val="0BB74A17"/>
    <w:rsid w:val="0BD13F16"/>
    <w:rsid w:val="0C132D3B"/>
    <w:rsid w:val="0C1821A1"/>
    <w:rsid w:val="0C5F0639"/>
    <w:rsid w:val="0C85106D"/>
    <w:rsid w:val="0D66233C"/>
    <w:rsid w:val="0D8B1FB3"/>
    <w:rsid w:val="0E0C3DDB"/>
    <w:rsid w:val="0F5E3671"/>
    <w:rsid w:val="0F6442AD"/>
    <w:rsid w:val="0FDA7F53"/>
    <w:rsid w:val="108219C2"/>
    <w:rsid w:val="108A2630"/>
    <w:rsid w:val="10A44496"/>
    <w:rsid w:val="11705116"/>
    <w:rsid w:val="12153473"/>
    <w:rsid w:val="149E36C6"/>
    <w:rsid w:val="14B46C3B"/>
    <w:rsid w:val="15110FDA"/>
    <w:rsid w:val="155A19C5"/>
    <w:rsid w:val="163B2A75"/>
    <w:rsid w:val="16576D7D"/>
    <w:rsid w:val="16FC2E25"/>
    <w:rsid w:val="17B20018"/>
    <w:rsid w:val="18916BB1"/>
    <w:rsid w:val="18DB38B5"/>
    <w:rsid w:val="194359BB"/>
    <w:rsid w:val="1A120A39"/>
    <w:rsid w:val="1A7A4A2F"/>
    <w:rsid w:val="1AD215C7"/>
    <w:rsid w:val="1B1429E8"/>
    <w:rsid w:val="1B2C7B1C"/>
    <w:rsid w:val="1B8B0F7B"/>
    <w:rsid w:val="1CD95020"/>
    <w:rsid w:val="1D390C37"/>
    <w:rsid w:val="1D3F50C8"/>
    <w:rsid w:val="1E295883"/>
    <w:rsid w:val="1E565434"/>
    <w:rsid w:val="1E90527F"/>
    <w:rsid w:val="21747ECE"/>
    <w:rsid w:val="21AA2905"/>
    <w:rsid w:val="22017E7F"/>
    <w:rsid w:val="23276494"/>
    <w:rsid w:val="23544896"/>
    <w:rsid w:val="235E7C88"/>
    <w:rsid w:val="23BA6ABE"/>
    <w:rsid w:val="246B6135"/>
    <w:rsid w:val="249B3256"/>
    <w:rsid w:val="24D155C6"/>
    <w:rsid w:val="24F21A97"/>
    <w:rsid w:val="24FE116D"/>
    <w:rsid w:val="253F4B50"/>
    <w:rsid w:val="254F4AC3"/>
    <w:rsid w:val="264701ED"/>
    <w:rsid w:val="26E4625C"/>
    <w:rsid w:val="27B53290"/>
    <w:rsid w:val="28A46FFC"/>
    <w:rsid w:val="29A06FDB"/>
    <w:rsid w:val="29F7000D"/>
    <w:rsid w:val="2A134B34"/>
    <w:rsid w:val="2A712F0F"/>
    <w:rsid w:val="2ACA7BA1"/>
    <w:rsid w:val="2B2E2752"/>
    <w:rsid w:val="2B9022F9"/>
    <w:rsid w:val="2BFC024F"/>
    <w:rsid w:val="2C9B1E1D"/>
    <w:rsid w:val="2F4B0E69"/>
    <w:rsid w:val="2FDB3DE9"/>
    <w:rsid w:val="2FE33C2A"/>
    <w:rsid w:val="30D16CC5"/>
    <w:rsid w:val="31C028B0"/>
    <w:rsid w:val="34440E08"/>
    <w:rsid w:val="347F621F"/>
    <w:rsid w:val="35841F79"/>
    <w:rsid w:val="36F83FC1"/>
    <w:rsid w:val="372870CB"/>
    <w:rsid w:val="37476F8A"/>
    <w:rsid w:val="38610411"/>
    <w:rsid w:val="38AA56C2"/>
    <w:rsid w:val="38E10519"/>
    <w:rsid w:val="39827C37"/>
    <w:rsid w:val="3B9E3F6B"/>
    <w:rsid w:val="3C125F9B"/>
    <w:rsid w:val="3C1959EB"/>
    <w:rsid w:val="3D2F613A"/>
    <w:rsid w:val="3E1444F6"/>
    <w:rsid w:val="3EE5460E"/>
    <w:rsid w:val="3EF2277B"/>
    <w:rsid w:val="3F3B2173"/>
    <w:rsid w:val="3F686E5D"/>
    <w:rsid w:val="40715AC8"/>
    <w:rsid w:val="40B67F76"/>
    <w:rsid w:val="40EF4E03"/>
    <w:rsid w:val="415E2F32"/>
    <w:rsid w:val="41E277AB"/>
    <w:rsid w:val="42253F21"/>
    <w:rsid w:val="429A35A3"/>
    <w:rsid w:val="432F2D76"/>
    <w:rsid w:val="435C1130"/>
    <w:rsid w:val="442828E9"/>
    <w:rsid w:val="445D5316"/>
    <w:rsid w:val="451D3612"/>
    <w:rsid w:val="453D2F36"/>
    <w:rsid w:val="45A369D6"/>
    <w:rsid w:val="45F437E6"/>
    <w:rsid w:val="46800F66"/>
    <w:rsid w:val="49BA3960"/>
    <w:rsid w:val="4A0F666A"/>
    <w:rsid w:val="4A431ECD"/>
    <w:rsid w:val="4A727205"/>
    <w:rsid w:val="4B4B30DE"/>
    <w:rsid w:val="4BCA4F16"/>
    <w:rsid w:val="4BFA763C"/>
    <w:rsid w:val="4C4035AE"/>
    <w:rsid w:val="4D434377"/>
    <w:rsid w:val="4DDC3C53"/>
    <w:rsid w:val="4E9C0872"/>
    <w:rsid w:val="4F7F35B2"/>
    <w:rsid w:val="50FE2006"/>
    <w:rsid w:val="52B24340"/>
    <w:rsid w:val="53C83767"/>
    <w:rsid w:val="53FD45B4"/>
    <w:rsid w:val="54A11841"/>
    <w:rsid w:val="56311B54"/>
    <w:rsid w:val="56402304"/>
    <w:rsid w:val="57B82479"/>
    <w:rsid w:val="57C23DE3"/>
    <w:rsid w:val="58B00FFC"/>
    <w:rsid w:val="5949498B"/>
    <w:rsid w:val="59A85EFD"/>
    <w:rsid w:val="5A5D59B2"/>
    <w:rsid w:val="5ACA6808"/>
    <w:rsid w:val="5AFC487A"/>
    <w:rsid w:val="5B6E7ADC"/>
    <w:rsid w:val="5CBC2283"/>
    <w:rsid w:val="5D86343D"/>
    <w:rsid w:val="5DB12D14"/>
    <w:rsid w:val="5EA12B9A"/>
    <w:rsid w:val="5EC928D3"/>
    <w:rsid w:val="5ECA557A"/>
    <w:rsid w:val="5F425B73"/>
    <w:rsid w:val="5F5C48D2"/>
    <w:rsid w:val="5F6A1134"/>
    <w:rsid w:val="5F8E191F"/>
    <w:rsid w:val="5F9641CD"/>
    <w:rsid w:val="60A12815"/>
    <w:rsid w:val="628D2779"/>
    <w:rsid w:val="628D5F03"/>
    <w:rsid w:val="642E1F6E"/>
    <w:rsid w:val="64E87E6E"/>
    <w:rsid w:val="64F43146"/>
    <w:rsid w:val="654A5507"/>
    <w:rsid w:val="658C10F3"/>
    <w:rsid w:val="65CA104B"/>
    <w:rsid w:val="66356363"/>
    <w:rsid w:val="667276CE"/>
    <w:rsid w:val="66972AAF"/>
    <w:rsid w:val="677E4DCB"/>
    <w:rsid w:val="679430C3"/>
    <w:rsid w:val="684D00F9"/>
    <w:rsid w:val="68BB08C9"/>
    <w:rsid w:val="698644F6"/>
    <w:rsid w:val="6A4140D3"/>
    <w:rsid w:val="6A5D69B2"/>
    <w:rsid w:val="6A7021FA"/>
    <w:rsid w:val="6A7673E0"/>
    <w:rsid w:val="6AE40B26"/>
    <w:rsid w:val="6C093A05"/>
    <w:rsid w:val="6CD65267"/>
    <w:rsid w:val="6DA65F1D"/>
    <w:rsid w:val="6E031C73"/>
    <w:rsid w:val="6E116960"/>
    <w:rsid w:val="6E6B6A6E"/>
    <w:rsid w:val="6EC8671A"/>
    <w:rsid w:val="6ECB1832"/>
    <w:rsid w:val="6EE8797B"/>
    <w:rsid w:val="6FE3724A"/>
    <w:rsid w:val="6FF46E59"/>
    <w:rsid w:val="6FF91BCE"/>
    <w:rsid w:val="7051627C"/>
    <w:rsid w:val="70CA3520"/>
    <w:rsid w:val="73E237A4"/>
    <w:rsid w:val="73E9008B"/>
    <w:rsid w:val="765D7C90"/>
    <w:rsid w:val="766B30F8"/>
    <w:rsid w:val="76C24502"/>
    <w:rsid w:val="772935FE"/>
    <w:rsid w:val="7841299F"/>
    <w:rsid w:val="7A0E74A5"/>
    <w:rsid w:val="7A42130E"/>
    <w:rsid w:val="7B53369F"/>
    <w:rsid w:val="7B760BF0"/>
    <w:rsid w:val="7B8757FC"/>
    <w:rsid w:val="7C046C2A"/>
    <w:rsid w:val="7C483276"/>
    <w:rsid w:val="7C4D08BC"/>
    <w:rsid w:val="7DAC6B0C"/>
    <w:rsid w:val="7DAD46F3"/>
    <w:rsid w:val="7EB91433"/>
    <w:rsid w:val="7F045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jc w:val="left"/>
    </w:pPr>
    <w:rPr>
      <w:rFonts w:eastAsia="仿宋_GB2312"/>
      <w:color w:val="000000"/>
    </w:rPr>
  </w:style>
  <w:style w:type="character" w:styleId="14">
    <w:name w:val="Hyperlink"/>
    <w:basedOn w:val="13"/>
    <w:unhideWhenUsed/>
    <w:qFormat/>
    <w:uiPriority w:val="99"/>
    <w:rPr>
      <w:color w:val="0000FF" w:themeColor="hyperlink"/>
      <w:u w:val="single"/>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Char"/>
    <w:basedOn w:val="13"/>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2400</Characters>
  <Lines>20</Lines>
  <Paragraphs>5</Paragraphs>
  <TotalTime>7</TotalTime>
  <ScaleCrop>false</ScaleCrop>
  <LinksUpToDate>false</LinksUpToDate>
  <CharactersWithSpaces>2815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2021-08-05T06:49:57Z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C068F02AB27D4DB3A4EE282C6F7C95BE</vt:lpwstr>
  </property>
</Properties>
</file>